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color w:val="000000" w:themeColor="text1"/>
          <w:sz w:val="24"/>
          <w:szCs w:val="24"/>
          <w14:textFill>
            <w14:solidFill>
              <w14:schemeClr w14:val="tx1"/>
            </w14:solidFill>
          </w14:textFill>
        </w:rPr>
      </w:pPr>
    </w:p>
    <w:p>
      <w:pPr>
        <w:spacing w:line="500" w:lineRule="exact"/>
        <w:jc w:val="center"/>
        <w:rPr>
          <w:rFonts w:ascii="宋体"/>
          <w:b/>
          <w:color w:val="000000" w:themeColor="text1"/>
          <w:sz w:val="24"/>
          <w:szCs w:val="24"/>
          <w14:textFill>
            <w14:solidFill>
              <w14:schemeClr w14:val="tx1"/>
            </w14:solidFill>
          </w14:textFill>
        </w:rPr>
      </w:pPr>
    </w:p>
    <w:p>
      <w:pPr>
        <w:spacing w:line="500" w:lineRule="exact"/>
        <w:jc w:val="center"/>
        <w:rPr>
          <w:rFonts w:ascii="宋体"/>
          <w:b/>
          <w:color w:val="000000" w:themeColor="text1"/>
          <w:sz w:val="24"/>
          <w:szCs w:val="24"/>
          <w14:textFill>
            <w14:solidFill>
              <w14:schemeClr w14:val="tx1"/>
            </w14:solidFill>
          </w14:textFill>
        </w:rPr>
      </w:pPr>
    </w:p>
    <w:p>
      <w:pPr>
        <w:spacing w:line="720" w:lineRule="auto"/>
        <w:jc w:val="center"/>
        <w:rPr>
          <w:rFonts w:ascii="宋体"/>
          <w:b/>
          <w:color w:val="000000" w:themeColor="text1"/>
          <w:sz w:val="96"/>
          <w:szCs w:val="96"/>
          <w14:textFill>
            <w14:solidFill>
              <w14:schemeClr w14:val="tx1"/>
            </w14:solidFill>
          </w14:textFill>
        </w:rPr>
      </w:pPr>
      <w:r>
        <w:rPr>
          <w:rFonts w:hint="eastAsia" w:ascii="宋体" w:hAnsi="宋体"/>
          <w:b/>
          <w:color w:val="000000" w:themeColor="text1"/>
          <w:sz w:val="96"/>
          <w:szCs w:val="96"/>
          <w14:textFill>
            <w14:solidFill>
              <w14:schemeClr w14:val="tx1"/>
            </w14:solidFill>
          </w14:textFill>
        </w:rPr>
        <w:t>招标文件</w:t>
      </w:r>
    </w:p>
    <w:p>
      <w:pPr>
        <w:spacing w:line="500" w:lineRule="exact"/>
        <w:rPr>
          <w:rFonts w:ascii="宋体"/>
          <w:b/>
          <w:color w:val="000000" w:themeColor="text1"/>
          <w:sz w:val="24"/>
          <w:szCs w:val="24"/>
          <w14:textFill>
            <w14:solidFill>
              <w14:schemeClr w14:val="tx1"/>
            </w14:solidFill>
          </w14:textFill>
        </w:rPr>
      </w:pPr>
    </w:p>
    <w:p>
      <w:pPr>
        <w:spacing w:line="500" w:lineRule="exact"/>
        <w:jc w:val="center"/>
        <w:rPr>
          <w:rFonts w:ascii="宋体"/>
          <w:b/>
          <w:color w:val="000000" w:themeColor="text1"/>
          <w:sz w:val="24"/>
          <w:szCs w:val="24"/>
          <w14:textFill>
            <w14:solidFill>
              <w14:schemeClr w14:val="tx1"/>
            </w14:solidFill>
          </w14:textFill>
        </w:rPr>
      </w:pPr>
    </w:p>
    <w:p>
      <w:pPr>
        <w:spacing w:line="500" w:lineRule="exact"/>
        <w:jc w:val="center"/>
        <w:rPr>
          <w:rFonts w:ascii="宋体"/>
          <w:b/>
          <w:color w:val="000000" w:themeColor="text1"/>
          <w:sz w:val="24"/>
          <w:szCs w:val="24"/>
          <w14:textFill>
            <w14:solidFill>
              <w14:schemeClr w14:val="tx1"/>
            </w14:solidFill>
          </w14:textFill>
        </w:rPr>
      </w:pPr>
    </w:p>
    <w:p>
      <w:pPr>
        <w:spacing w:line="500" w:lineRule="exact"/>
        <w:jc w:val="center"/>
        <w:rPr>
          <w:rFonts w:ascii="宋体"/>
          <w:b/>
          <w:color w:val="000000" w:themeColor="text1"/>
          <w:sz w:val="24"/>
          <w:szCs w:val="24"/>
          <w14:textFill>
            <w14:solidFill>
              <w14:schemeClr w14:val="tx1"/>
            </w14:solidFill>
          </w14:textFill>
        </w:rPr>
      </w:pPr>
    </w:p>
    <w:p>
      <w:pPr>
        <w:spacing w:line="500" w:lineRule="exact"/>
        <w:ind w:firstLine="1446" w:firstLineChars="400"/>
        <w:jc w:val="left"/>
        <w:rPr>
          <w:rFonts w:hint="default" w:ascii="宋体" w:hAnsi="宋体" w:eastAsia="宋体"/>
          <w:b/>
          <w:color w:val="000000" w:themeColor="text1"/>
          <w:sz w:val="36"/>
          <w:szCs w:val="36"/>
          <w:u w:val="single"/>
          <w:lang w:val="en-US" w:eastAsia="zh-CN"/>
          <w14:textFill>
            <w14:solidFill>
              <w14:schemeClr w14:val="tx1"/>
            </w14:solidFill>
          </w14:textFill>
        </w:rPr>
      </w:pPr>
    </w:p>
    <w:p>
      <w:pPr>
        <w:spacing w:line="500" w:lineRule="exact"/>
        <w:jc w:val="left"/>
        <w:rPr>
          <w:rFonts w:ascii="宋体"/>
          <w:b/>
          <w:color w:val="000000" w:themeColor="text1"/>
          <w:sz w:val="36"/>
          <w:szCs w:val="36"/>
          <w14:textFill>
            <w14:solidFill>
              <w14:schemeClr w14:val="tx1"/>
            </w14:solidFill>
          </w14:textFill>
        </w:rPr>
      </w:pPr>
    </w:p>
    <w:p>
      <w:pPr>
        <w:spacing w:line="500" w:lineRule="exact"/>
        <w:jc w:val="left"/>
        <w:rPr>
          <w:rFonts w:ascii="宋体"/>
          <w:b/>
          <w:color w:val="000000" w:themeColor="text1"/>
          <w:sz w:val="36"/>
          <w:szCs w:val="36"/>
          <w14:textFill>
            <w14:solidFill>
              <w14:schemeClr w14:val="tx1"/>
            </w14:solidFill>
          </w14:textFill>
        </w:rPr>
      </w:pPr>
    </w:p>
    <w:p>
      <w:pPr>
        <w:spacing w:line="500" w:lineRule="exact"/>
        <w:jc w:val="center"/>
        <w:rPr>
          <w:rFonts w:hint="eastAsia" w:ascii="宋体" w:eastAsia="宋体"/>
          <w:b/>
          <w:color w:val="000000" w:themeColor="text1"/>
          <w:sz w:val="36"/>
          <w:szCs w:val="36"/>
          <w:lang w:eastAsia="zh-CN"/>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项</w:t>
      </w:r>
      <w:r>
        <w:rPr>
          <w:rFonts w:hint="eastAsia" w:ascii="宋体" w:hAnsi="宋体" w:cs="宋体"/>
          <w:b/>
          <w:color w:val="000000" w:themeColor="text1"/>
          <w:sz w:val="36"/>
          <w:szCs w:val="36"/>
          <w14:textFill>
            <w14:solidFill>
              <w14:schemeClr w14:val="tx1"/>
            </w14:solidFill>
          </w14:textFill>
        </w:rPr>
        <w:t>目名称：</w:t>
      </w:r>
      <w:r>
        <w:rPr>
          <w:rFonts w:hint="eastAsia" w:ascii="宋体" w:hAnsi="宋体" w:cs="宋体"/>
          <w:b/>
          <w:color w:val="000000" w:themeColor="text1"/>
          <w:sz w:val="36"/>
          <w:szCs w:val="36"/>
          <w:lang w:eastAsia="zh-CN"/>
          <w14:textFill>
            <w14:solidFill>
              <w14:schemeClr w14:val="tx1"/>
            </w14:solidFill>
          </w14:textFill>
        </w:rPr>
        <w:t>消防维保及设备保养项目</w:t>
      </w:r>
    </w:p>
    <w:p>
      <w:pPr>
        <w:spacing w:line="500" w:lineRule="exact"/>
        <w:rPr>
          <w:rFonts w:ascii="宋体"/>
          <w:b/>
          <w:color w:val="000000" w:themeColor="text1"/>
          <w:sz w:val="24"/>
          <w:szCs w:val="24"/>
          <w14:textFill>
            <w14:solidFill>
              <w14:schemeClr w14:val="tx1"/>
            </w14:solidFill>
          </w14:textFill>
        </w:rPr>
      </w:pPr>
    </w:p>
    <w:p>
      <w:pPr>
        <w:spacing w:line="500" w:lineRule="exact"/>
        <w:rPr>
          <w:rFonts w:ascii="宋体"/>
          <w:b/>
          <w:color w:val="000000" w:themeColor="text1"/>
          <w:sz w:val="24"/>
          <w:szCs w:val="24"/>
          <w14:textFill>
            <w14:solidFill>
              <w14:schemeClr w14:val="tx1"/>
            </w14:solidFill>
          </w14:textFill>
        </w:rPr>
      </w:pPr>
    </w:p>
    <w:p>
      <w:pPr>
        <w:spacing w:line="500" w:lineRule="exact"/>
        <w:rPr>
          <w:rFonts w:ascii="宋体"/>
          <w:b/>
          <w:color w:val="000000" w:themeColor="text1"/>
          <w:sz w:val="24"/>
          <w:szCs w:val="24"/>
          <w14:textFill>
            <w14:solidFill>
              <w14:schemeClr w14:val="tx1"/>
            </w14:solidFill>
          </w14:textFill>
        </w:rPr>
      </w:pPr>
    </w:p>
    <w:p>
      <w:pPr>
        <w:spacing w:line="500" w:lineRule="exact"/>
        <w:rPr>
          <w:rFonts w:ascii="宋体"/>
          <w:b/>
          <w:color w:val="000000" w:themeColor="text1"/>
          <w:sz w:val="24"/>
          <w:szCs w:val="24"/>
          <w14:textFill>
            <w14:solidFill>
              <w14:schemeClr w14:val="tx1"/>
            </w14:solidFill>
          </w14:textFill>
        </w:rPr>
      </w:pPr>
    </w:p>
    <w:p>
      <w:pPr>
        <w:spacing w:line="500" w:lineRule="exact"/>
        <w:jc w:val="center"/>
        <w:rPr>
          <w:rFonts w:ascii="宋体" w:cs="黑体"/>
          <w:bCs/>
          <w:color w:val="000000" w:themeColor="text1"/>
          <w:spacing w:val="15"/>
          <w:sz w:val="32"/>
          <w:szCs w:val="32"/>
          <w14:textFill>
            <w14:solidFill>
              <w14:schemeClr w14:val="tx1"/>
            </w14:solidFill>
          </w14:textFill>
        </w:rPr>
      </w:pPr>
    </w:p>
    <w:p>
      <w:pPr>
        <w:spacing w:line="500" w:lineRule="exact"/>
        <w:jc w:val="center"/>
        <w:rPr>
          <w:rFonts w:ascii="宋体" w:cs="黑体"/>
          <w:bCs/>
          <w:color w:val="000000" w:themeColor="text1"/>
          <w:spacing w:val="15"/>
          <w:sz w:val="32"/>
          <w:szCs w:val="32"/>
          <w14:textFill>
            <w14:solidFill>
              <w14:schemeClr w14:val="tx1"/>
            </w14:solidFill>
          </w14:textFill>
        </w:rPr>
      </w:pPr>
    </w:p>
    <w:p>
      <w:pPr>
        <w:spacing w:line="500" w:lineRule="exact"/>
        <w:jc w:val="center"/>
        <w:rPr>
          <w:rFonts w:ascii="宋体" w:cs="黑体"/>
          <w:bCs/>
          <w:color w:val="000000" w:themeColor="text1"/>
          <w:spacing w:val="15"/>
          <w:sz w:val="32"/>
          <w:szCs w:val="32"/>
          <w14:textFill>
            <w14:solidFill>
              <w14:schemeClr w14:val="tx1"/>
            </w14:solidFill>
          </w14:textFill>
        </w:rPr>
      </w:pPr>
    </w:p>
    <w:p>
      <w:pPr>
        <w:spacing w:line="500" w:lineRule="exact"/>
        <w:jc w:val="center"/>
        <w:rPr>
          <w:rFonts w:hint="default" w:ascii="宋体" w:eastAsia="宋体" w:cs="黑体"/>
          <w:bCs/>
          <w:color w:val="000000" w:themeColor="text1"/>
          <w:spacing w:val="15"/>
          <w:sz w:val="32"/>
          <w:szCs w:val="32"/>
          <w:lang w:val="en-US" w:eastAsia="zh-CN"/>
          <w14:textFill>
            <w14:solidFill>
              <w14:schemeClr w14:val="tx1"/>
            </w14:solidFill>
          </w14:textFill>
        </w:rPr>
      </w:pPr>
      <w:r>
        <w:rPr>
          <w:rFonts w:hint="eastAsia" w:ascii="宋体" w:hAnsi="宋体" w:cs="黑体"/>
          <w:bCs/>
          <w:color w:val="000000" w:themeColor="text1"/>
          <w:spacing w:val="15"/>
          <w:sz w:val="32"/>
          <w:szCs w:val="32"/>
          <w:lang w:val="en-US" w:eastAsia="zh-CN"/>
          <w14:textFill>
            <w14:solidFill>
              <w14:schemeClr w14:val="tx1"/>
            </w14:solidFill>
          </w14:textFill>
        </w:rPr>
        <w:t>盐城市中医院</w:t>
      </w:r>
    </w:p>
    <w:p>
      <w:pPr>
        <w:spacing w:line="500" w:lineRule="exact"/>
        <w:rPr>
          <w:rFonts w:ascii="宋体"/>
          <w:color w:val="000000" w:themeColor="text1"/>
          <w:sz w:val="32"/>
          <w:szCs w:val="32"/>
          <w14:textFill>
            <w14:solidFill>
              <w14:schemeClr w14:val="tx1"/>
            </w14:solidFill>
          </w14:textFill>
        </w:rPr>
      </w:pPr>
    </w:p>
    <w:p>
      <w:pPr>
        <w:spacing w:line="500" w:lineRule="exact"/>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lang w:val="en-US" w:eastAsia="zh-CN"/>
          <w14:textFill>
            <w14:solidFill>
              <w14:schemeClr w14:val="tx1"/>
            </w14:solidFill>
          </w14:textFill>
        </w:rPr>
        <w:t>2021</w:t>
      </w:r>
      <w:r>
        <w:rPr>
          <w:rFonts w:hint="eastAsia" w:ascii="宋体" w:hAnsi="宋体"/>
          <w:color w:val="000000" w:themeColor="text1"/>
          <w:sz w:val="32"/>
          <w:szCs w:val="32"/>
          <w14:textFill>
            <w14:solidFill>
              <w14:schemeClr w14:val="tx1"/>
            </w14:solidFill>
          </w14:textFill>
        </w:rPr>
        <w:t>年</w:t>
      </w:r>
      <w:r>
        <w:rPr>
          <w:rFonts w:hint="eastAsia" w:ascii="宋体" w:hAnsi="宋体"/>
          <w:color w:val="000000" w:themeColor="text1"/>
          <w:sz w:val="32"/>
          <w:szCs w:val="32"/>
          <w:lang w:val="en-US" w:eastAsia="zh-CN"/>
          <w14:textFill>
            <w14:solidFill>
              <w14:schemeClr w14:val="tx1"/>
            </w14:solidFill>
          </w14:textFill>
        </w:rPr>
        <w:t>8</w:t>
      </w:r>
      <w:r>
        <w:rPr>
          <w:rFonts w:hint="eastAsia" w:ascii="宋体" w:hAnsi="宋体"/>
          <w:color w:val="000000" w:themeColor="text1"/>
          <w:sz w:val="32"/>
          <w:szCs w:val="32"/>
          <w14:textFill>
            <w14:solidFill>
              <w14:schemeClr w14:val="tx1"/>
            </w14:solidFill>
          </w14:textFill>
        </w:rPr>
        <w:t>月</w:t>
      </w:r>
    </w:p>
    <w:p>
      <w:pPr>
        <w:spacing w:line="500" w:lineRule="exact"/>
        <w:jc w:val="center"/>
        <w:rPr>
          <w:rFonts w:ascii="宋体"/>
          <w:color w:val="000000" w:themeColor="text1"/>
          <w:sz w:val="32"/>
          <w:szCs w:val="32"/>
          <w14:textFill>
            <w14:solidFill>
              <w14:schemeClr w14:val="tx1"/>
            </w14:solidFill>
          </w14:textFill>
        </w:rPr>
      </w:pPr>
    </w:p>
    <w:p>
      <w:pPr>
        <w:spacing w:line="500" w:lineRule="exact"/>
        <w:jc w:val="center"/>
        <w:outlineLvl w:val="0"/>
        <w:rPr>
          <w:rFonts w:ascii="宋体"/>
          <w:color w:val="000000" w:themeColor="text1"/>
          <w:sz w:val="24"/>
          <w:szCs w:val="24"/>
          <w14:textFill>
            <w14:solidFill>
              <w14:schemeClr w14:val="tx1"/>
            </w14:solidFill>
          </w14:textFill>
        </w:rPr>
      </w:pPr>
      <w:r>
        <w:rPr>
          <w:rFonts w:ascii="宋体"/>
          <w:color w:val="000000" w:themeColor="text1"/>
          <w:sz w:val="24"/>
          <w:szCs w:val="24"/>
          <w14:textFill>
            <w14:solidFill>
              <w14:schemeClr w14:val="tx1"/>
            </w14:solidFill>
          </w14:textFill>
        </w:rPr>
        <w:br w:type="page"/>
      </w:r>
      <w:bookmarkStart w:id="0" w:name="_Toc120614210"/>
      <w:bookmarkStart w:id="1" w:name="_Toc16938516"/>
      <w:bookmarkStart w:id="2" w:name="_Toc479757206"/>
      <w:bookmarkStart w:id="3" w:name="_Toc523127445"/>
      <w:bookmarkStart w:id="4" w:name="_Toc513029200"/>
      <w:bookmarkStart w:id="5" w:name="_Toc20823272"/>
    </w:p>
    <w:p>
      <w:pPr>
        <w:spacing w:line="500" w:lineRule="exact"/>
        <w:jc w:val="center"/>
        <w:outlineLvl w:val="0"/>
        <w:rPr>
          <w:rStyle w:val="41"/>
          <w:rFonts w:asciiTheme="minorEastAsia" w:hAnsiTheme="minorEastAsia" w:eastAsiaTheme="minorEastAsia" w:cstheme="minorEastAsia"/>
          <w:sz w:val="48"/>
          <w:szCs w:val="48"/>
        </w:rPr>
      </w:pPr>
      <w:r>
        <w:rPr>
          <w:rFonts w:hint="eastAsia" w:ascii="宋体" w:hAnsi="宋体"/>
          <w:b/>
          <w:color w:val="000000" w:themeColor="text1"/>
          <w:sz w:val="36"/>
          <w:szCs w:val="36"/>
          <w14:textFill>
            <w14:solidFill>
              <w14:schemeClr w14:val="tx1"/>
            </w14:solidFill>
          </w14:textFill>
        </w:rPr>
        <w:t>第一章</w:t>
      </w:r>
      <w:bookmarkEnd w:id="0"/>
      <w:r>
        <w:rPr>
          <w:rFonts w:hint="eastAsia" w:ascii="宋体" w:hAnsi="宋体"/>
          <w:b/>
          <w:color w:val="000000" w:themeColor="text1"/>
          <w:sz w:val="36"/>
          <w:szCs w:val="36"/>
          <w14:textFill>
            <w14:solidFill>
              <w14:schemeClr w14:val="tx1"/>
            </w14:solidFill>
          </w14:textFill>
        </w:rPr>
        <w:t xml:space="preserve">  </w:t>
      </w:r>
      <w:bookmarkStart w:id="6" w:name="_Toc120614211"/>
      <w:r>
        <w:rPr>
          <w:rFonts w:hint="eastAsia" w:ascii="宋体" w:hAnsi="宋体"/>
          <w:b/>
          <w:color w:val="000000" w:themeColor="text1"/>
          <w:sz w:val="36"/>
          <w:szCs w:val="36"/>
          <w14:textFill>
            <w14:solidFill>
              <w14:schemeClr w14:val="tx1"/>
            </w14:solidFill>
          </w14:textFill>
        </w:rPr>
        <w:t>投标人须知</w:t>
      </w:r>
    </w:p>
    <w:p>
      <w:pPr>
        <w:pStyle w:val="2"/>
        <w:ind w:firstLine="600"/>
      </w:pPr>
    </w:p>
    <w:tbl>
      <w:tblPr>
        <w:tblStyle w:val="32"/>
        <w:tblW w:w="95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6"/>
        <w:gridCol w:w="90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579" w:hRule="atLeast"/>
        </w:trPr>
        <w:tc>
          <w:tcPr>
            <w:tcW w:w="456" w:type="dxa"/>
            <w:tcBorders>
              <w:top w:val="single" w:color="auto" w:sz="8" w:space="0"/>
              <w:left w:val="single" w:color="auto" w:sz="8" w:space="0"/>
              <w:bottom w:val="single" w:color="auto" w:sz="4" w:space="0"/>
              <w:right w:val="single" w:color="auto" w:sz="4" w:space="0"/>
            </w:tcBorders>
            <w:noWrap/>
            <w:vAlign w:val="center"/>
          </w:tcPr>
          <w:p>
            <w:pPr>
              <w:pStyle w:val="20"/>
              <w:adjustRightInd w:val="0"/>
              <w:snapToGrid w:val="0"/>
              <w:jc w:val="center"/>
              <w:rPr>
                <w:rFonts w:hAnsi="宋体"/>
                <w:sz w:val="24"/>
              </w:rPr>
            </w:pPr>
            <w:r>
              <w:rPr>
                <w:rFonts w:hAnsi="宋体"/>
                <w:sz w:val="24"/>
              </w:rPr>
              <w:t>序号</w:t>
            </w:r>
          </w:p>
        </w:tc>
        <w:tc>
          <w:tcPr>
            <w:tcW w:w="9084" w:type="dxa"/>
            <w:tcBorders>
              <w:top w:val="single" w:color="auto" w:sz="8" w:space="0"/>
              <w:left w:val="single" w:color="auto" w:sz="4" w:space="0"/>
              <w:bottom w:val="single" w:color="auto" w:sz="4" w:space="0"/>
              <w:right w:val="single" w:color="auto" w:sz="8" w:space="0"/>
            </w:tcBorders>
            <w:noWrap/>
            <w:vAlign w:val="center"/>
          </w:tcPr>
          <w:p>
            <w:pPr>
              <w:pStyle w:val="20"/>
              <w:adjustRightInd w:val="0"/>
              <w:snapToGrid w:val="0"/>
              <w:jc w:val="center"/>
              <w:rPr>
                <w:rFonts w:hAnsi="宋体"/>
                <w:sz w:val="24"/>
              </w:rPr>
            </w:pPr>
            <w:r>
              <w:rPr>
                <w:rFonts w:hAnsi="宋体"/>
                <w:sz w:val="24"/>
              </w:rPr>
              <w:t>招      标      概      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43" w:hRule="atLeast"/>
        </w:trPr>
        <w:tc>
          <w:tcPr>
            <w:tcW w:w="456" w:type="dxa"/>
            <w:tcBorders>
              <w:top w:val="single" w:color="auto" w:sz="4" w:space="0"/>
              <w:left w:val="single" w:color="auto" w:sz="8" w:space="0"/>
              <w:bottom w:val="single" w:color="auto" w:sz="4" w:space="0"/>
              <w:right w:val="single" w:color="auto" w:sz="4" w:space="0"/>
            </w:tcBorders>
            <w:noWrap/>
            <w:vAlign w:val="center"/>
          </w:tcPr>
          <w:p>
            <w:pPr>
              <w:pStyle w:val="20"/>
              <w:adjustRightInd w:val="0"/>
              <w:snapToGrid w:val="0"/>
              <w:jc w:val="center"/>
              <w:rPr>
                <w:rFonts w:hAnsi="宋体"/>
                <w:sz w:val="24"/>
              </w:rPr>
            </w:pPr>
            <w:r>
              <w:rPr>
                <w:rFonts w:hAnsi="宋体"/>
                <w:sz w:val="24"/>
              </w:rPr>
              <w:t>1</w:t>
            </w:r>
          </w:p>
        </w:tc>
        <w:tc>
          <w:tcPr>
            <w:tcW w:w="9084" w:type="dxa"/>
            <w:tcBorders>
              <w:top w:val="single" w:color="auto" w:sz="4" w:space="0"/>
              <w:left w:val="single" w:color="auto" w:sz="4" w:space="0"/>
              <w:bottom w:val="single" w:color="auto" w:sz="4" w:space="0"/>
              <w:right w:val="single" w:color="auto" w:sz="8" w:space="0"/>
            </w:tcBorders>
            <w:noWrap/>
            <w:vAlign w:val="center"/>
          </w:tcPr>
          <w:p>
            <w:pPr>
              <w:pStyle w:val="20"/>
              <w:adjustRightInd w:val="0"/>
              <w:snapToGrid w:val="0"/>
              <w:spacing w:line="360" w:lineRule="auto"/>
              <w:rPr>
                <w:rFonts w:hAnsi="宋体"/>
                <w:sz w:val="24"/>
              </w:rPr>
            </w:pPr>
            <w:r>
              <w:rPr>
                <w:rFonts w:hAnsi="宋体"/>
                <w:sz w:val="24"/>
              </w:rPr>
              <w:t>综合说明：</w:t>
            </w:r>
          </w:p>
          <w:p>
            <w:pPr>
              <w:spacing w:line="360" w:lineRule="auto"/>
              <w:rPr>
                <w:rFonts w:hint="eastAsia" w:ascii="宋体" w:hAnsi="宋体" w:eastAsia="宋体"/>
                <w:sz w:val="24"/>
                <w:lang w:eastAsia="zh-CN"/>
              </w:rPr>
            </w:pPr>
            <w:r>
              <w:rPr>
                <w:rFonts w:hint="eastAsia" w:ascii="宋体" w:hAnsi="宋体"/>
                <w:sz w:val="24"/>
              </w:rPr>
              <w:t xml:space="preserve">项目名称： </w:t>
            </w:r>
            <w:r>
              <w:rPr>
                <w:rFonts w:hint="eastAsia" w:ascii="宋体" w:hAnsi="宋体"/>
                <w:sz w:val="24"/>
                <w:lang w:eastAsia="zh-CN"/>
              </w:rPr>
              <w:t>消防维保及设备保养项目</w:t>
            </w:r>
          </w:p>
          <w:p>
            <w:pPr>
              <w:pStyle w:val="20"/>
              <w:adjustRightInd w:val="0"/>
              <w:snapToGrid w:val="0"/>
              <w:spacing w:line="360" w:lineRule="auto"/>
              <w:rPr>
                <w:rFonts w:hint="eastAsia" w:hAnsi="宋体" w:eastAsia="宋体"/>
                <w:sz w:val="24"/>
                <w:lang w:eastAsia="zh-CN"/>
              </w:rPr>
            </w:pPr>
            <w:r>
              <w:rPr>
                <w:rFonts w:hint="eastAsia" w:hAnsi="宋体"/>
                <w:sz w:val="24"/>
              </w:rPr>
              <w:t>采购</w:t>
            </w:r>
            <w:r>
              <w:rPr>
                <w:rFonts w:hAnsi="宋体"/>
                <w:sz w:val="24"/>
              </w:rPr>
              <w:t xml:space="preserve">单位： </w:t>
            </w:r>
            <w:r>
              <w:rPr>
                <w:rFonts w:hint="eastAsia" w:hAnsi="宋体"/>
                <w:bCs/>
                <w:sz w:val="24"/>
                <w:lang w:eastAsia="zh-CN"/>
              </w:rPr>
              <w:t>盐城市中医院</w:t>
            </w:r>
          </w:p>
          <w:p>
            <w:pPr>
              <w:pStyle w:val="20"/>
              <w:adjustRightInd w:val="0"/>
              <w:snapToGrid w:val="0"/>
              <w:spacing w:line="360" w:lineRule="auto"/>
              <w:rPr>
                <w:rFonts w:hAnsi="宋体"/>
                <w:sz w:val="24"/>
              </w:rPr>
            </w:pPr>
            <w:r>
              <w:rPr>
                <w:rFonts w:hint="eastAsia" w:hAnsi="宋体"/>
                <w:sz w:val="24"/>
              </w:rPr>
              <w:t>采购</w:t>
            </w:r>
            <w:r>
              <w:rPr>
                <w:rFonts w:hAnsi="宋体"/>
                <w:sz w:val="24"/>
              </w:rPr>
              <w:t xml:space="preserve">方式： </w:t>
            </w:r>
            <w:r>
              <w:rPr>
                <w:rFonts w:hint="eastAsia" w:hAnsi="宋体"/>
                <w:sz w:val="24"/>
              </w:rPr>
              <w:t>公开</w:t>
            </w:r>
            <w:r>
              <w:rPr>
                <w:rFonts w:hAnsi="宋体"/>
                <w:sz w:val="24"/>
              </w:rPr>
              <w:t>招标</w:t>
            </w:r>
          </w:p>
          <w:p>
            <w:pPr>
              <w:pStyle w:val="20"/>
              <w:adjustRightInd w:val="0"/>
              <w:snapToGrid w:val="0"/>
              <w:spacing w:line="360" w:lineRule="auto"/>
              <w:rPr>
                <w:rFonts w:hAnsi="宋体"/>
                <w:sz w:val="24"/>
                <w:szCs w:val="24"/>
              </w:rPr>
            </w:pPr>
            <w:r>
              <w:rPr>
                <w:rFonts w:hint="eastAsia" w:hAnsi="宋体"/>
                <w:sz w:val="24"/>
              </w:rPr>
              <w:t>项目</w:t>
            </w:r>
            <w:r>
              <w:rPr>
                <w:rFonts w:hAnsi="宋体"/>
                <w:sz w:val="24"/>
              </w:rPr>
              <w:t xml:space="preserve">地点： </w:t>
            </w:r>
            <w:r>
              <w:rPr>
                <w:rFonts w:hint="eastAsia" w:hAnsi="宋体"/>
                <w:bCs/>
                <w:sz w:val="24"/>
                <w:lang w:eastAsia="zh-CN"/>
              </w:rPr>
              <w:t>盐城市中医院</w:t>
            </w:r>
          </w:p>
          <w:p>
            <w:pPr>
              <w:pStyle w:val="20"/>
              <w:adjustRightInd w:val="0"/>
              <w:snapToGrid w:val="0"/>
              <w:spacing w:line="360" w:lineRule="auto"/>
              <w:rPr>
                <w:rFonts w:hAnsi="宋体"/>
                <w:sz w:val="24"/>
              </w:rPr>
            </w:pPr>
            <w:r>
              <w:rPr>
                <w:rFonts w:hAnsi="宋体"/>
                <w:sz w:val="24"/>
              </w:rPr>
              <w:t>承包方式： 包工包料</w:t>
            </w:r>
          </w:p>
          <w:p>
            <w:pPr>
              <w:pStyle w:val="20"/>
              <w:adjustRightInd w:val="0"/>
              <w:snapToGrid w:val="0"/>
              <w:spacing w:line="360" w:lineRule="auto"/>
              <w:rPr>
                <w:rFonts w:hAnsi="宋体"/>
                <w:sz w:val="24"/>
              </w:rPr>
            </w:pPr>
            <w:r>
              <w:rPr>
                <w:rFonts w:hint="eastAsia" w:hAnsi="宋体"/>
                <w:sz w:val="24"/>
              </w:rPr>
              <w:t>预算价：   本项目设定最高限价为：</w:t>
            </w:r>
            <w:r>
              <w:rPr>
                <w:rFonts w:hint="eastAsia" w:hAnsi="宋体"/>
                <w:b/>
                <w:bCs/>
                <w:sz w:val="24"/>
                <w:u w:val="single"/>
                <w:lang w:val="en-US" w:eastAsia="zh-CN"/>
              </w:rPr>
              <w:t xml:space="preserve">298000.00 </w:t>
            </w:r>
            <w:r>
              <w:rPr>
                <w:rFonts w:hint="eastAsia" w:hAnsi="宋体"/>
                <w:b/>
                <w:bCs/>
                <w:sz w:val="24"/>
                <w:u w:val="single"/>
              </w:rPr>
              <w:t>元</w:t>
            </w:r>
          </w:p>
          <w:p>
            <w:pPr>
              <w:pStyle w:val="20"/>
              <w:adjustRightInd w:val="0"/>
              <w:snapToGrid w:val="0"/>
              <w:spacing w:line="360" w:lineRule="auto"/>
              <w:rPr>
                <w:rFonts w:hAnsi="宋体"/>
                <w:sz w:val="24"/>
              </w:rPr>
            </w:pPr>
            <w:r>
              <w:rPr>
                <w:rFonts w:hAnsi="宋体"/>
                <w:sz w:val="24"/>
              </w:rPr>
              <w:t>质量要求：</w:t>
            </w:r>
            <w:r>
              <w:rPr>
                <w:rFonts w:hint="eastAsia" w:hAnsi="宋体"/>
                <w:sz w:val="24"/>
              </w:rPr>
              <w:t xml:space="preserve"> </w:t>
            </w:r>
            <w:r>
              <w:rPr>
                <w:rFonts w:hint="eastAsia" w:hAnsi="宋体"/>
                <w:sz w:val="24"/>
                <w:lang w:eastAsia="zh-CN"/>
              </w:rPr>
              <w:t>消防维保项目</w:t>
            </w:r>
            <w:r>
              <w:rPr>
                <w:rFonts w:hint="eastAsia" w:hAnsi="宋体"/>
                <w:sz w:val="24"/>
              </w:rPr>
              <w:t>的维保、维修、安装相关伴随服务施工</w:t>
            </w:r>
            <w:r>
              <w:rPr>
                <w:rFonts w:hint="eastAsia" w:hAnsi="宋体"/>
                <w:sz w:val="24"/>
                <w:lang w:eastAsia="zh-CN"/>
              </w:rPr>
              <w:t>实施</w:t>
            </w:r>
            <w:r>
              <w:rPr>
                <w:rFonts w:hint="eastAsia" w:hAnsi="宋体"/>
                <w:sz w:val="24"/>
              </w:rPr>
              <w:t>，确保消防设施在使用期间保证正常运转质量要求达到合格标准。</w:t>
            </w:r>
          </w:p>
          <w:p>
            <w:pPr>
              <w:pStyle w:val="20"/>
              <w:adjustRightInd w:val="0"/>
              <w:snapToGrid w:val="0"/>
              <w:spacing w:line="360" w:lineRule="auto"/>
              <w:rPr>
                <w:rFonts w:hint="eastAsia" w:hAnsi="宋体"/>
                <w:sz w:val="24"/>
              </w:rPr>
            </w:pPr>
            <w:r>
              <w:rPr>
                <w:rFonts w:hint="eastAsia" w:hAnsi="宋体"/>
                <w:sz w:val="24"/>
              </w:rPr>
              <w:t>维保期限：</w:t>
            </w:r>
            <w:r>
              <w:rPr>
                <w:rFonts w:hint="eastAsia" w:hAnsi="宋体"/>
                <w:sz w:val="24"/>
                <w:lang w:val="en-US" w:eastAsia="zh-CN"/>
              </w:rPr>
              <w:t xml:space="preserve"> 一</w:t>
            </w:r>
            <w:r>
              <w:rPr>
                <w:rFonts w:hint="eastAsia" w:hAnsi="宋体"/>
                <w:sz w:val="24"/>
              </w:rPr>
              <w:t>年</w:t>
            </w:r>
          </w:p>
          <w:p>
            <w:pPr>
              <w:pStyle w:val="20"/>
              <w:adjustRightInd w:val="0"/>
              <w:snapToGrid w:val="0"/>
              <w:spacing w:line="360" w:lineRule="auto"/>
              <w:rPr>
                <w:rFonts w:hint="eastAsia" w:hAnsi="宋体" w:eastAsia="宋体"/>
                <w:sz w:val="24"/>
                <w:lang w:eastAsia="zh-CN"/>
              </w:rPr>
            </w:pPr>
            <w:r>
              <w:rPr>
                <w:rFonts w:hAnsi="宋体"/>
                <w:sz w:val="24"/>
              </w:rPr>
              <w:t xml:space="preserve">招标范围： </w:t>
            </w:r>
            <w:r>
              <w:rPr>
                <w:rFonts w:hint="eastAsia" w:hAnsi="宋体"/>
                <w:sz w:val="24"/>
                <w:lang w:eastAsia="zh-CN"/>
              </w:rPr>
              <w:t>消防维保及设备保养项目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trPr>
        <w:tc>
          <w:tcPr>
            <w:tcW w:w="456" w:type="dxa"/>
            <w:tcBorders>
              <w:top w:val="single" w:color="auto" w:sz="4" w:space="0"/>
              <w:left w:val="single" w:color="auto" w:sz="8" w:space="0"/>
              <w:bottom w:val="single" w:color="auto" w:sz="4" w:space="0"/>
              <w:right w:val="single" w:color="auto" w:sz="4" w:space="0"/>
            </w:tcBorders>
            <w:noWrap/>
            <w:vAlign w:val="center"/>
          </w:tcPr>
          <w:p>
            <w:pPr>
              <w:pStyle w:val="20"/>
              <w:adjustRightInd w:val="0"/>
              <w:snapToGrid w:val="0"/>
              <w:jc w:val="center"/>
              <w:rPr>
                <w:rFonts w:hAnsi="宋体"/>
                <w:sz w:val="24"/>
              </w:rPr>
            </w:pPr>
            <w:r>
              <w:rPr>
                <w:rFonts w:hAnsi="宋体"/>
                <w:sz w:val="24"/>
              </w:rPr>
              <w:t>2</w:t>
            </w:r>
          </w:p>
        </w:tc>
        <w:tc>
          <w:tcPr>
            <w:tcW w:w="9084" w:type="dxa"/>
            <w:tcBorders>
              <w:bottom w:val="single" w:color="auto" w:sz="4" w:space="0"/>
            </w:tcBorders>
            <w:noWrap/>
            <w:vAlign w:val="center"/>
          </w:tcPr>
          <w:p>
            <w:pPr>
              <w:pStyle w:val="20"/>
              <w:adjustRightInd w:val="0"/>
              <w:snapToGrid w:val="0"/>
              <w:spacing w:line="360" w:lineRule="auto"/>
              <w:rPr>
                <w:rFonts w:hAnsi="宋体"/>
                <w:sz w:val="24"/>
              </w:rPr>
            </w:pPr>
            <w:r>
              <w:rPr>
                <w:rFonts w:hAnsi="宋体"/>
                <w:sz w:val="24"/>
              </w:rPr>
              <w:t>发售招标文件时间：20</w:t>
            </w:r>
            <w:r>
              <w:rPr>
                <w:rFonts w:hint="eastAsia" w:hAnsi="宋体"/>
                <w:sz w:val="24"/>
              </w:rPr>
              <w:t>2</w:t>
            </w:r>
            <w:r>
              <w:rPr>
                <w:rFonts w:hint="eastAsia" w:hAnsi="宋体"/>
                <w:sz w:val="24"/>
                <w:lang w:val="en-US" w:eastAsia="zh-CN"/>
              </w:rPr>
              <w:t>1</w:t>
            </w:r>
            <w:r>
              <w:rPr>
                <w:rFonts w:hAnsi="宋体"/>
                <w:sz w:val="24"/>
              </w:rPr>
              <w:t xml:space="preserve"> 年</w:t>
            </w:r>
            <w:r>
              <w:rPr>
                <w:rFonts w:hint="eastAsia" w:hAnsi="宋体"/>
                <w:sz w:val="24"/>
                <w:lang w:val="en-US" w:eastAsia="zh-CN"/>
              </w:rPr>
              <w:t>8</w:t>
            </w:r>
            <w:r>
              <w:rPr>
                <w:rFonts w:hAnsi="宋体"/>
                <w:sz w:val="24"/>
              </w:rPr>
              <w:t>月</w:t>
            </w:r>
            <w:r>
              <w:rPr>
                <w:rFonts w:hint="eastAsia" w:hAnsi="宋体"/>
                <w:sz w:val="24"/>
                <w:lang w:val="en-US" w:eastAsia="zh-CN"/>
              </w:rPr>
              <w:t xml:space="preserve"> 23</w:t>
            </w:r>
            <w:r>
              <w:rPr>
                <w:rFonts w:hAnsi="宋体"/>
                <w:sz w:val="24"/>
              </w:rPr>
              <w:t>日,报名费</w:t>
            </w:r>
            <w:r>
              <w:rPr>
                <w:rFonts w:hint="eastAsia" w:hAnsi="宋体"/>
                <w:sz w:val="24"/>
                <w:lang w:val="en-US" w:eastAsia="zh-CN"/>
              </w:rPr>
              <w:t>3</w:t>
            </w:r>
            <w:r>
              <w:rPr>
                <w:rFonts w:hAnsi="宋体"/>
                <w:sz w:val="24"/>
              </w:rPr>
              <w:t>00元，投标时直接交给代理机构。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59" w:hRule="atLeast"/>
        </w:trPr>
        <w:tc>
          <w:tcPr>
            <w:tcW w:w="456" w:type="dxa"/>
            <w:tcBorders>
              <w:top w:val="single" w:color="auto" w:sz="4" w:space="0"/>
              <w:left w:val="single" w:color="auto" w:sz="8" w:space="0"/>
              <w:bottom w:val="single" w:color="auto" w:sz="4" w:space="0"/>
              <w:right w:val="single" w:color="auto" w:sz="4" w:space="0"/>
            </w:tcBorders>
            <w:noWrap/>
            <w:vAlign w:val="center"/>
          </w:tcPr>
          <w:p>
            <w:pPr>
              <w:adjustRightInd w:val="0"/>
              <w:snapToGrid w:val="0"/>
              <w:jc w:val="center"/>
              <w:rPr>
                <w:rFonts w:ascii="宋体" w:hAnsi="宋体"/>
                <w:sz w:val="24"/>
              </w:rPr>
            </w:pPr>
            <w:r>
              <w:rPr>
                <w:rFonts w:hint="eastAsia" w:ascii="宋体" w:hAnsi="宋体"/>
                <w:sz w:val="24"/>
              </w:rPr>
              <w:t>3</w:t>
            </w:r>
          </w:p>
        </w:tc>
        <w:tc>
          <w:tcPr>
            <w:tcW w:w="9084" w:type="dxa"/>
            <w:tcBorders>
              <w:top w:val="single" w:color="auto" w:sz="4" w:space="0"/>
              <w:left w:val="single" w:color="auto" w:sz="4" w:space="0"/>
              <w:bottom w:val="single" w:color="auto" w:sz="4" w:space="0"/>
              <w:right w:val="single" w:color="auto" w:sz="8" w:space="0"/>
            </w:tcBorders>
            <w:noWrap/>
            <w:vAlign w:val="center"/>
          </w:tcPr>
          <w:p>
            <w:pPr>
              <w:pStyle w:val="20"/>
              <w:adjustRightInd w:val="0"/>
              <w:snapToGrid w:val="0"/>
              <w:rPr>
                <w:rFonts w:hAnsi="宋体"/>
                <w:sz w:val="24"/>
              </w:rPr>
            </w:pPr>
            <w:r>
              <w:rPr>
                <w:rFonts w:hAnsi="宋体"/>
                <w:sz w:val="24"/>
              </w:rPr>
              <w:t>现场踏勘时间：20</w:t>
            </w:r>
            <w:r>
              <w:rPr>
                <w:rFonts w:hint="eastAsia" w:hAnsi="宋体"/>
                <w:sz w:val="24"/>
              </w:rPr>
              <w:t>2</w:t>
            </w:r>
            <w:r>
              <w:rPr>
                <w:rFonts w:hint="eastAsia" w:hAnsi="宋体"/>
                <w:sz w:val="24"/>
                <w:lang w:val="en-US" w:eastAsia="zh-CN"/>
              </w:rPr>
              <w:t>1</w:t>
            </w:r>
            <w:r>
              <w:rPr>
                <w:rFonts w:hAnsi="宋体"/>
                <w:sz w:val="24"/>
              </w:rPr>
              <w:t>年</w:t>
            </w:r>
            <w:r>
              <w:rPr>
                <w:rFonts w:hint="eastAsia" w:hAnsi="宋体"/>
                <w:sz w:val="24"/>
                <w:lang w:val="en-US" w:eastAsia="zh-CN"/>
              </w:rPr>
              <w:t>8</w:t>
            </w:r>
            <w:r>
              <w:rPr>
                <w:rFonts w:hAnsi="宋体"/>
                <w:sz w:val="24"/>
              </w:rPr>
              <w:t>月</w:t>
            </w:r>
            <w:r>
              <w:rPr>
                <w:rFonts w:hint="eastAsia" w:hAnsi="宋体"/>
                <w:sz w:val="24"/>
                <w:lang w:val="en-US" w:eastAsia="zh-CN"/>
              </w:rPr>
              <w:t>24</w:t>
            </w:r>
            <w:r>
              <w:rPr>
                <w:rFonts w:hAnsi="宋体"/>
                <w:sz w:val="24"/>
              </w:rPr>
              <w:t>日</w:t>
            </w:r>
            <w:r>
              <w:rPr>
                <w:rFonts w:hAnsi="宋体"/>
                <w:sz w:val="24"/>
                <w:u w:val="single"/>
              </w:rPr>
              <w:t xml:space="preserve"> 9:00  </w:t>
            </w:r>
            <w:r>
              <w:rPr>
                <w:rFonts w:hAnsi="宋体"/>
                <w:sz w:val="24"/>
              </w:rPr>
              <w:t>时, 踏勘地点：</w:t>
            </w:r>
            <w:r>
              <w:rPr>
                <w:rFonts w:hint="eastAsia" w:hAnsi="宋体"/>
                <w:sz w:val="24"/>
                <w:lang w:val="en-US" w:eastAsia="zh-CN"/>
              </w:rPr>
              <w:t>盐城市中医院</w:t>
            </w:r>
            <w:r>
              <w:rPr>
                <w:rFonts w:hAnsi="宋体"/>
                <w:sz w:val="24"/>
              </w:rPr>
              <w:t xml:space="preserve">                  </w:t>
            </w:r>
          </w:p>
          <w:p>
            <w:pPr>
              <w:pStyle w:val="20"/>
              <w:adjustRightInd w:val="0"/>
              <w:snapToGrid w:val="0"/>
              <w:rPr>
                <w:rFonts w:hAnsi="宋体" w:cs="宋体"/>
                <w:sz w:val="24"/>
              </w:rPr>
            </w:pPr>
            <w:r>
              <w:rPr>
                <w:rFonts w:hAnsi="宋体"/>
                <w:sz w:val="24"/>
              </w:rPr>
              <w:t>递交疑问时间：20</w:t>
            </w:r>
            <w:r>
              <w:rPr>
                <w:rFonts w:hint="eastAsia" w:hAnsi="宋体"/>
                <w:sz w:val="24"/>
              </w:rPr>
              <w:t>2</w:t>
            </w:r>
            <w:r>
              <w:rPr>
                <w:rFonts w:hint="eastAsia" w:hAnsi="宋体"/>
                <w:sz w:val="24"/>
                <w:lang w:val="en-US" w:eastAsia="zh-CN"/>
              </w:rPr>
              <w:t>1</w:t>
            </w:r>
            <w:r>
              <w:rPr>
                <w:rFonts w:hAnsi="宋体"/>
                <w:sz w:val="24"/>
              </w:rPr>
              <w:t>年</w:t>
            </w:r>
            <w:r>
              <w:rPr>
                <w:rFonts w:hint="eastAsia" w:hAnsi="宋体"/>
                <w:sz w:val="24"/>
                <w:lang w:val="en-US" w:eastAsia="zh-CN"/>
              </w:rPr>
              <w:t>8</w:t>
            </w:r>
            <w:r>
              <w:rPr>
                <w:rFonts w:hAnsi="宋体"/>
                <w:sz w:val="24"/>
              </w:rPr>
              <w:t>月</w:t>
            </w:r>
            <w:r>
              <w:rPr>
                <w:rFonts w:hint="eastAsia" w:hAnsi="宋体"/>
                <w:sz w:val="24"/>
                <w:lang w:val="en-US" w:eastAsia="zh-CN"/>
              </w:rPr>
              <w:t xml:space="preserve"> 24 </w:t>
            </w:r>
            <w:r>
              <w:rPr>
                <w:rFonts w:hAnsi="宋体"/>
                <w:sz w:val="24"/>
              </w:rPr>
              <w:t>日</w:t>
            </w:r>
            <w:r>
              <w:rPr>
                <w:rFonts w:hAnsi="宋体" w:cs="宋体"/>
                <w:sz w:val="24"/>
                <w:u w:val="single"/>
              </w:rPr>
              <w:t xml:space="preserve"> 12:00 </w:t>
            </w:r>
            <w:r>
              <w:rPr>
                <w:rFonts w:hAnsi="宋体" w:cs="宋体"/>
                <w:sz w:val="24"/>
              </w:rPr>
              <w:t>时, 递交疑问地点：</w:t>
            </w:r>
            <w:r>
              <w:rPr>
                <w:rFonts w:hint="eastAsia" w:hAnsi="宋体"/>
                <w:sz w:val="24"/>
                <w:lang w:val="en-US" w:eastAsia="zh-CN"/>
              </w:rPr>
              <w:t>盐城市中医院</w:t>
            </w:r>
          </w:p>
          <w:p>
            <w:pPr>
              <w:adjustRightInd w:val="0"/>
              <w:snapToGrid w:val="0"/>
              <w:spacing w:line="360" w:lineRule="auto"/>
              <w:rPr>
                <w:rFonts w:ascii="宋体" w:hAnsi="宋体"/>
                <w:sz w:val="24"/>
              </w:rPr>
            </w:pPr>
            <w:r>
              <w:rPr>
                <w:rFonts w:hint="eastAsia" w:ascii="宋体" w:hAnsi="宋体" w:cs="宋体"/>
                <w:sz w:val="24"/>
              </w:rPr>
              <w:t>答疑</w:t>
            </w:r>
            <w:r>
              <w:rPr>
                <w:rFonts w:hint="eastAsia" w:ascii="宋体" w:hAnsi="宋体" w:cs="宋体"/>
                <w:sz w:val="24"/>
                <w:szCs w:val="20"/>
              </w:rPr>
              <w:t>发</w:t>
            </w:r>
            <w:r>
              <w:rPr>
                <w:rFonts w:hint="eastAsia" w:ascii="宋体" w:hAnsi="宋体" w:eastAsia="宋体" w:cs="Courier New"/>
                <w:kern w:val="2"/>
                <w:sz w:val="24"/>
                <w:szCs w:val="21"/>
                <w:lang w:val="en-US" w:eastAsia="zh-CN" w:bidi="ar-SA"/>
              </w:rPr>
              <w:t>布时间：2021年</w:t>
            </w:r>
            <w:r>
              <w:rPr>
                <w:rFonts w:hint="eastAsia" w:ascii="宋体" w:hAnsi="宋体" w:cs="Courier New"/>
                <w:kern w:val="2"/>
                <w:sz w:val="24"/>
                <w:szCs w:val="21"/>
                <w:lang w:val="en-US" w:eastAsia="zh-CN" w:bidi="ar-SA"/>
              </w:rPr>
              <w:t>8</w:t>
            </w:r>
            <w:r>
              <w:rPr>
                <w:rFonts w:hint="eastAsia" w:ascii="宋体" w:hAnsi="宋体" w:eastAsia="宋体" w:cs="Courier New"/>
                <w:kern w:val="2"/>
                <w:sz w:val="24"/>
                <w:szCs w:val="21"/>
                <w:lang w:val="en-US" w:eastAsia="zh-CN" w:bidi="ar-SA"/>
              </w:rPr>
              <w:t>月</w:t>
            </w:r>
            <w:r>
              <w:rPr>
                <w:rFonts w:hint="eastAsia" w:ascii="宋体" w:hAnsi="宋体" w:cs="Courier New"/>
                <w:kern w:val="2"/>
                <w:sz w:val="24"/>
                <w:szCs w:val="21"/>
                <w:lang w:val="en-US" w:eastAsia="zh-CN" w:bidi="ar-SA"/>
              </w:rPr>
              <w:t xml:space="preserve"> 24 </w:t>
            </w:r>
            <w:r>
              <w:rPr>
                <w:rFonts w:hint="eastAsia" w:ascii="宋体" w:hAnsi="宋体" w:eastAsia="宋体" w:cs="Courier New"/>
                <w:kern w:val="2"/>
                <w:sz w:val="24"/>
                <w:szCs w:val="21"/>
                <w:lang w:val="en-US" w:eastAsia="zh-CN" w:bidi="ar-SA"/>
              </w:rPr>
              <w:t>日</w:t>
            </w:r>
            <w:r>
              <w:rPr>
                <w:rFonts w:hint="eastAsia" w:ascii="宋体" w:hAnsi="宋体" w:cs="宋体"/>
                <w:b w:val="0"/>
                <w:bCs w:val="0"/>
                <w:sz w:val="24"/>
                <w:u w:val="single"/>
              </w:rPr>
              <w:t xml:space="preserve"> 18</w:t>
            </w:r>
            <w:r>
              <w:rPr>
                <w:rFonts w:hint="eastAsia" w:ascii="宋体" w:hAnsi="宋体" w:cs="宋体"/>
                <w:sz w:val="24"/>
                <w:u w:val="single"/>
              </w:rPr>
              <w:t xml:space="preserve">:00 </w:t>
            </w:r>
            <w:r>
              <w:rPr>
                <w:rFonts w:hint="eastAsia" w:ascii="宋体" w:hAnsi="宋体" w:cs="宋体"/>
                <w:sz w:val="24"/>
              </w:rPr>
              <w:t>时</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9" w:hRule="atLeast"/>
        </w:trPr>
        <w:tc>
          <w:tcPr>
            <w:tcW w:w="456" w:type="dxa"/>
            <w:tcBorders>
              <w:top w:val="single" w:color="auto" w:sz="4" w:space="0"/>
              <w:left w:val="single" w:color="auto" w:sz="8" w:space="0"/>
              <w:bottom w:val="single" w:color="auto" w:sz="4" w:space="0"/>
              <w:right w:val="single" w:color="auto" w:sz="4" w:space="0"/>
            </w:tcBorders>
            <w:noWrap/>
            <w:vAlign w:val="center"/>
          </w:tcPr>
          <w:p>
            <w:pPr>
              <w:pStyle w:val="20"/>
              <w:adjustRightInd w:val="0"/>
              <w:snapToGrid w:val="0"/>
              <w:jc w:val="center"/>
              <w:rPr>
                <w:rFonts w:hAnsi="宋体"/>
                <w:sz w:val="24"/>
              </w:rPr>
            </w:pPr>
            <w:r>
              <w:rPr>
                <w:rFonts w:hAnsi="宋体"/>
                <w:sz w:val="24"/>
              </w:rPr>
              <w:t>4</w:t>
            </w:r>
          </w:p>
        </w:tc>
        <w:tc>
          <w:tcPr>
            <w:tcW w:w="9084" w:type="dxa"/>
            <w:noWrap/>
            <w:vAlign w:val="center"/>
          </w:tcPr>
          <w:p>
            <w:pPr>
              <w:pStyle w:val="20"/>
              <w:adjustRightInd w:val="0"/>
              <w:snapToGrid w:val="0"/>
              <w:spacing w:line="360" w:lineRule="auto"/>
              <w:rPr>
                <w:rFonts w:hAnsi="宋体"/>
                <w:sz w:val="24"/>
              </w:rPr>
            </w:pPr>
            <w:r>
              <w:rPr>
                <w:rFonts w:hAnsi="宋体"/>
                <w:sz w:val="24"/>
              </w:rPr>
              <w:t>投标文件递交时间：</w:t>
            </w:r>
          </w:p>
          <w:p>
            <w:pPr>
              <w:pStyle w:val="20"/>
              <w:adjustRightInd w:val="0"/>
              <w:snapToGrid w:val="0"/>
              <w:spacing w:line="360" w:lineRule="auto"/>
              <w:ind w:left="240" w:hanging="240" w:hangingChars="100"/>
              <w:rPr>
                <w:rFonts w:hint="default" w:hAnsi="宋体"/>
                <w:sz w:val="24"/>
                <w:lang w:val="en-US"/>
              </w:rPr>
            </w:pPr>
            <w:r>
              <w:rPr>
                <w:rFonts w:hAnsi="宋体"/>
                <w:sz w:val="24"/>
              </w:rPr>
              <w:t>20</w:t>
            </w:r>
            <w:r>
              <w:rPr>
                <w:rFonts w:hint="eastAsia" w:hAnsi="宋体"/>
                <w:sz w:val="24"/>
              </w:rPr>
              <w:t>2</w:t>
            </w:r>
            <w:r>
              <w:rPr>
                <w:rFonts w:hint="eastAsia" w:hAnsi="宋体"/>
                <w:sz w:val="24"/>
                <w:lang w:val="en-US" w:eastAsia="zh-CN"/>
              </w:rPr>
              <w:t>1</w:t>
            </w:r>
            <w:r>
              <w:rPr>
                <w:rFonts w:hAnsi="宋体"/>
                <w:sz w:val="24"/>
              </w:rPr>
              <w:t>年</w:t>
            </w:r>
            <w:r>
              <w:rPr>
                <w:rFonts w:hint="eastAsia" w:hAnsi="宋体"/>
                <w:sz w:val="24"/>
                <w:lang w:val="en-US" w:eastAsia="zh-CN"/>
              </w:rPr>
              <w:t>8</w:t>
            </w:r>
            <w:r>
              <w:rPr>
                <w:rFonts w:hAnsi="宋体"/>
                <w:sz w:val="24"/>
              </w:rPr>
              <w:t>月</w:t>
            </w:r>
            <w:r>
              <w:rPr>
                <w:rFonts w:hint="eastAsia" w:hAnsi="宋体"/>
                <w:sz w:val="24"/>
                <w:lang w:val="en-US" w:eastAsia="zh-CN"/>
              </w:rPr>
              <w:t xml:space="preserve">28 </w:t>
            </w:r>
            <w:r>
              <w:rPr>
                <w:rFonts w:hAnsi="宋体"/>
                <w:sz w:val="24"/>
              </w:rPr>
              <w:t>日</w:t>
            </w:r>
            <w:r>
              <w:rPr>
                <w:rFonts w:hint="eastAsia" w:hAnsi="宋体"/>
                <w:sz w:val="24"/>
                <w:u w:val="single"/>
                <w:lang w:val="en-US" w:eastAsia="zh-CN"/>
              </w:rPr>
              <w:t>10</w:t>
            </w:r>
            <w:r>
              <w:rPr>
                <w:rFonts w:hAnsi="宋体"/>
                <w:sz w:val="24"/>
                <w:u w:val="single"/>
              </w:rPr>
              <w:t>:</w:t>
            </w:r>
            <w:r>
              <w:rPr>
                <w:rFonts w:hint="eastAsia" w:hAnsi="宋体"/>
                <w:sz w:val="24"/>
                <w:u w:val="single"/>
                <w:lang w:val="en-US" w:eastAsia="zh-CN"/>
              </w:rPr>
              <w:t>3</w:t>
            </w:r>
            <w:r>
              <w:rPr>
                <w:rFonts w:hAnsi="宋体"/>
                <w:sz w:val="24"/>
                <w:u w:val="single"/>
              </w:rPr>
              <w:t xml:space="preserve">0  </w:t>
            </w:r>
            <w:r>
              <w:rPr>
                <w:rFonts w:hAnsi="宋体"/>
                <w:sz w:val="24"/>
              </w:rPr>
              <w:t>时  地点：</w:t>
            </w:r>
            <w:r>
              <w:rPr>
                <w:rFonts w:hint="eastAsia" w:hAnsi="宋体"/>
                <w:color w:val="FF0000"/>
                <w:sz w:val="24"/>
                <w:lang w:val="en-US" w:eastAsia="zh-CN"/>
              </w:rPr>
              <w:t>盐城市中医院六楼会议室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trPr>
        <w:tc>
          <w:tcPr>
            <w:tcW w:w="456" w:type="dxa"/>
            <w:tcBorders>
              <w:top w:val="single" w:color="auto" w:sz="4" w:space="0"/>
              <w:left w:val="single" w:color="auto" w:sz="8" w:space="0"/>
              <w:bottom w:val="single" w:color="auto" w:sz="4" w:space="0"/>
              <w:right w:val="single" w:color="auto" w:sz="4" w:space="0"/>
            </w:tcBorders>
            <w:noWrap/>
            <w:vAlign w:val="center"/>
          </w:tcPr>
          <w:p>
            <w:pPr>
              <w:pStyle w:val="20"/>
              <w:adjustRightInd w:val="0"/>
              <w:snapToGrid w:val="0"/>
              <w:jc w:val="center"/>
              <w:rPr>
                <w:rFonts w:hAnsi="宋体"/>
                <w:sz w:val="24"/>
              </w:rPr>
            </w:pPr>
            <w:r>
              <w:rPr>
                <w:rFonts w:hAnsi="宋体"/>
                <w:sz w:val="24"/>
              </w:rPr>
              <w:t>5</w:t>
            </w:r>
          </w:p>
        </w:tc>
        <w:tc>
          <w:tcPr>
            <w:tcW w:w="9084" w:type="dxa"/>
            <w:tcBorders>
              <w:top w:val="single" w:color="auto" w:sz="4" w:space="0"/>
              <w:left w:val="single" w:color="auto" w:sz="4" w:space="0"/>
              <w:bottom w:val="single" w:color="auto" w:sz="4" w:space="0"/>
              <w:right w:val="single" w:color="auto" w:sz="8" w:space="0"/>
            </w:tcBorders>
            <w:noWrap/>
            <w:vAlign w:val="center"/>
          </w:tcPr>
          <w:p>
            <w:pPr>
              <w:pStyle w:val="20"/>
              <w:adjustRightInd w:val="0"/>
              <w:snapToGrid w:val="0"/>
              <w:spacing w:line="360" w:lineRule="auto"/>
              <w:rPr>
                <w:rFonts w:hAnsi="宋体"/>
                <w:sz w:val="24"/>
              </w:rPr>
            </w:pPr>
            <w:r>
              <w:rPr>
                <w:rFonts w:hAnsi="宋体"/>
                <w:sz w:val="24"/>
              </w:rPr>
              <w:t>开标时间：20</w:t>
            </w:r>
            <w:r>
              <w:rPr>
                <w:rFonts w:hint="eastAsia" w:hAnsi="宋体"/>
                <w:sz w:val="24"/>
              </w:rPr>
              <w:t>2</w:t>
            </w:r>
            <w:r>
              <w:rPr>
                <w:rFonts w:hint="eastAsia" w:hAnsi="宋体"/>
                <w:sz w:val="24"/>
                <w:lang w:val="en-US" w:eastAsia="zh-CN"/>
              </w:rPr>
              <w:t>1</w:t>
            </w:r>
            <w:r>
              <w:rPr>
                <w:rFonts w:hAnsi="宋体"/>
                <w:sz w:val="24"/>
              </w:rPr>
              <w:t>年</w:t>
            </w:r>
            <w:r>
              <w:rPr>
                <w:rFonts w:hint="eastAsia" w:hAnsi="宋体"/>
                <w:sz w:val="24"/>
                <w:lang w:val="en-US" w:eastAsia="zh-CN"/>
              </w:rPr>
              <w:t>8</w:t>
            </w:r>
            <w:r>
              <w:rPr>
                <w:rFonts w:hAnsi="宋体"/>
                <w:sz w:val="24"/>
              </w:rPr>
              <w:t>月</w:t>
            </w:r>
            <w:r>
              <w:rPr>
                <w:rFonts w:hint="eastAsia" w:hAnsi="宋体"/>
                <w:sz w:val="24"/>
                <w:lang w:val="en-US" w:eastAsia="zh-CN"/>
              </w:rPr>
              <w:t>28</w:t>
            </w:r>
            <w:r>
              <w:rPr>
                <w:rFonts w:hAnsi="宋体"/>
                <w:sz w:val="24"/>
              </w:rPr>
              <w:t>日</w:t>
            </w:r>
            <w:r>
              <w:rPr>
                <w:rFonts w:hint="eastAsia" w:hAnsi="宋体"/>
                <w:sz w:val="24"/>
                <w:u w:val="single"/>
                <w:lang w:val="en-US" w:eastAsia="zh-CN"/>
              </w:rPr>
              <w:t>10</w:t>
            </w:r>
            <w:r>
              <w:rPr>
                <w:rFonts w:hAnsi="宋体"/>
                <w:sz w:val="24"/>
                <w:u w:val="single"/>
              </w:rPr>
              <w:t>:</w:t>
            </w:r>
            <w:r>
              <w:rPr>
                <w:rFonts w:hint="eastAsia" w:hAnsi="宋体"/>
                <w:sz w:val="24"/>
                <w:u w:val="single"/>
                <w:lang w:val="en-US" w:eastAsia="zh-CN"/>
              </w:rPr>
              <w:t>3</w:t>
            </w:r>
            <w:bookmarkStart w:id="140" w:name="_GoBack"/>
            <w:bookmarkEnd w:id="140"/>
            <w:r>
              <w:rPr>
                <w:rFonts w:hAnsi="宋体"/>
                <w:sz w:val="24"/>
                <w:u w:val="single"/>
              </w:rPr>
              <w:t xml:space="preserve">0 </w:t>
            </w:r>
            <w:r>
              <w:rPr>
                <w:rFonts w:hAnsi="宋体"/>
                <w:sz w:val="24"/>
              </w:rPr>
              <w:t>时  地点：</w:t>
            </w:r>
            <w:r>
              <w:rPr>
                <w:rFonts w:hint="eastAsia" w:hAnsi="宋体"/>
                <w:sz w:val="24"/>
                <w:lang w:val="en-US" w:eastAsia="zh-CN"/>
              </w:rPr>
              <w:t>盐城市中医院</w:t>
            </w:r>
            <w:r>
              <w:rPr>
                <w:rFonts w:hint="eastAsia" w:hAnsi="宋体"/>
                <w:color w:val="FF0000"/>
                <w:sz w:val="24"/>
                <w:lang w:val="en-US" w:eastAsia="zh-CN"/>
              </w:rPr>
              <w:t>六楼会议室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6" w:hRule="atLeast"/>
        </w:trPr>
        <w:tc>
          <w:tcPr>
            <w:tcW w:w="456" w:type="dxa"/>
            <w:tcBorders>
              <w:top w:val="single" w:color="auto" w:sz="4" w:space="0"/>
              <w:left w:val="single" w:color="auto" w:sz="8" w:space="0"/>
              <w:bottom w:val="single" w:color="auto" w:sz="4" w:space="0"/>
              <w:right w:val="single" w:color="auto" w:sz="4" w:space="0"/>
            </w:tcBorders>
            <w:noWrap/>
            <w:vAlign w:val="center"/>
          </w:tcPr>
          <w:p>
            <w:pPr>
              <w:pStyle w:val="20"/>
              <w:adjustRightInd w:val="0"/>
              <w:snapToGrid w:val="0"/>
              <w:jc w:val="center"/>
              <w:rPr>
                <w:rFonts w:hAnsi="宋体"/>
                <w:color w:val="FF0000"/>
                <w:sz w:val="24"/>
              </w:rPr>
            </w:pPr>
            <w:r>
              <w:rPr>
                <w:rFonts w:hAnsi="宋体"/>
                <w:color w:val="FF0000"/>
                <w:sz w:val="24"/>
              </w:rPr>
              <w:t>6</w:t>
            </w:r>
          </w:p>
        </w:tc>
        <w:tc>
          <w:tcPr>
            <w:tcW w:w="9084" w:type="dxa"/>
            <w:tcBorders>
              <w:top w:val="single" w:color="auto" w:sz="4" w:space="0"/>
              <w:left w:val="single" w:color="auto" w:sz="4" w:space="0"/>
              <w:bottom w:val="single" w:color="auto" w:sz="4" w:space="0"/>
              <w:right w:val="single" w:color="auto" w:sz="8" w:space="0"/>
            </w:tcBorders>
            <w:noWrap/>
            <w:vAlign w:val="center"/>
          </w:tcPr>
          <w:p>
            <w:pPr>
              <w:autoSpaceDN w:val="0"/>
              <w:spacing w:line="380" w:lineRule="exact"/>
              <w:rPr>
                <w:rFonts w:ascii="宋体" w:hAnsi="宋体"/>
                <w:color w:val="FF0000"/>
                <w:sz w:val="24"/>
              </w:rPr>
            </w:pPr>
            <w:r>
              <w:rPr>
                <w:rFonts w:hint="eastAsia" w:ascii="宋体" w:hAnsi="宋体"/>
                <w:color w:val="FF0000"/>
                <w:sz w:val="24"/>
              </w:rPr>
              <w:t>履约担保的形式：转帐或电汇</w:t>
            </w:r>
          </w:p>
          <w:p>
            <w:pPr>
              <w:autoSpaceDN w:val="0"/>
              <w:spacing w:line="380" w:lineRule="exact"/>
              <w:rPr>
                <w:rFonts w:ascii="宋体" w:hAnsi="宋体"/>
                <w:color w:val="FF0000"/>
                <w:sz w:val="24"/>
              </w:rPr>
            </w:pPr>
            <w:r>
              <w:rPr>
                <w:rFonts w:hint="eastAsia" w:ascii="宋体" w:hAnsi="宋体"/>
                <w:color w:val="FF0000"/>
                <w:sz w:val="24"/>
              </w:rPr>
              <w:t>履约担保的额度：中标金额的5%</w:t>
            </w:r>
          </w:p>
          <w:p>
            <w:pPr>
              <w:autoSpaceDN w:val="0"/>
              <w:spacing w:line="380" w:lineRule="exact"/>
              <w:ind w:left="1200" w:hanging="1200" w:hangingChars="500"/>
              <w:rPr>
                <w:rFonts w:ascii="宋体" w:hAnsi="宋体"/>
                <w:color w:val="FF0000"/>
                <w:sz w:val="24"/>
              </w:rPr>
            </w:pPr>
            <w:r>
              <w:rPr>
                <w:rFonts w:hint="eastAsia" w:ascii="宋体" w:hAnsi="宋体"/>
                <w:color w:val="FF0000"/>
                <w:sz w:val="24"/>
              </w:rPr>
              <w:t>提交时间：中标人应在接到中标通知书2日内，将履约保证金汇转至招标人指定帐户并签订合同。</w:t>
            </w:r>
          </w:p>
          <w:p>
            <w:pPr>
              <w:pStyle w:val="20"/>
              <w:adjustRightInd w:val="0"/>
              <w:snapToGrid w:val="0"/>
              <w:spacing w:line="360" w:lineRule="auto"/>
              <w:rPr>
                <w:rFonts w:hAnsi="宋体"/>
                <w:color w:val="FF0000"/>
                <w:sz w:val="24"/>
              </w:rPr>
            </w:pPr>
            <w:r>
              <w:rPr>
                <w:rFonts w:hAnsi="宋体"/>
                <w:color w:val="FF0000"/>
                <w:sz w:val="24"/>
                <w:szCs w:val="24"/>
              </w:rPr>
              <w:t>有效期：至该项目验收合格。</w:t>
            </w:r>
          </w:p>
        </w:tc>
      </w:tr>
    </w:tbl>
    <w:p>
      <w:pPr>
        <w:pStyle w:val="20"/>
        <w:adjustRightInd w:val="0"/>
        <w:snapToGrid w:val="0"/>
        <w:spacing w:beforeLines="50"/>
        <w:rPr>
          <w:rFonts w:hint="default" w:hAnsi="宋体" w:eastAsia="宋体"/>
          <w:sz w:val="24"/>
          <w:lang w:val="en-US" w:eastAsia="zh-CN"/>
        </w:rPr>
      </w:pPr>
      <w:r>
        <w:rPr>
          <w:rFonts w:hint="eastAsia" w:hAnsi="宋体"/>
          <w:sz w:val="24"/>
        </w:rPr>
        <w:t>采购</w:t>
      </w:r>
      <w:r>
        <w:rPr>
          <w:rFonts w:hAnsi="宋体"/>
          <w:sz w:val="24"/>
        </w:rPr>
        <w:t>单位联系人：</w:t>
      </w:r>
      <w:r>
        <w:rPr>
          <w:rFonts w:hint="eastAsia" w:hAnsi="宋体"/>
          <w:sz w:val="24"/>
          <w:lang w:val="en-US" w:eastAsia="zh-CN"/>
        </w:rPr>
        <w:t>程主任</w:t>
      </w:r>
      <w:r>
        <w:rPr>
          <w:rFonts w:hAnsi="宋体"/>
          <w:sz w:val="24"/>
        </w:rPr>
        <w:t>　　　</w:t>
      </w:r>
      <w:r>
        <w:rPr>
          <w:rFonts w:hint="eastAsia" w:hAnsi="宋体"/>
          <w:sz w:val="24"/>
          <w:lang w:val="en-US" w:eastAsia="zh-CN"/>
        </w:rPr>
        <w:t xml:space="preserve">  </w:t>
      </w:r>
      <w:r>
        <w:rPr>
          <w:rFonts w:hAnsi="宋体"/>
          <w:sz w:val="24"/>
        </w:rPr>
        <w:t>　　     联系电话：</w:t>
      </w:r>
      <w:r>
        <w:rPr>
          <w:rFonts w:hint="eastAsia" w:hAnsi="宋体"/>
          <w:sz w:val="24"/>
          <w:lang w:val="en-US" w:eastAsia="zh-CN"/>
        </w:rPr>
        <w:t xml:space="preserve">13375263931   </w:t>
      </w:r>
    </w:p>
    <w:p>
      <w:pPr>
        <w:spacing w:line="500" w:lineRule="exact"/>
        <w:ind w:right="720"/>
        <w:jc w:val="both"/>
        <w:rPr>
          <w:rFonts w:hint="default" w:ascii="宋体" w:eastAsia="宋体"/>
          <w:color w:val="000000" w:themeColor="text1"/>
          <w:sz w:val="24"/>
          <w:szCs w:val="24"/>
          <w:lang w:val="en-US" w:eastAsia="zh-CN"/>
          <w14:textFill>
            <w14:solidFill>
              <w14:schemeClr w14:val="tx1"/>
            </w14:solidFill>
          </w14:textFill>
        </w:rPr>
      </w:pPr>
      <w:r>
        <w:rPr>
          <w:rFonts w:hint="eastAsia" w:ascii="宋体" w:hAnsi="宋体"/>
          <w:sz w:val="24"/>
        </w:rPr>
        <w:t>招标代理机构联系人：</w:t>
      </w:r>
      <w:r>
        <w:rPr>
          <w:rFonts w:hint="eastAsia" w:ascii="宋体" w:hAnsi="宋体" w:cs="宋体"/>
          <w:color w:val="000000"/>
          <w:sz w:val="24"/>
          <w:lang w:val="en-US" w:eastAsia="zh-CN"/>
        </w:rPr>
        <w:t>施游</w:t>
      </w:r>
      <w:r>
        <w:rPr>
          <w:rFonts w:hint="eastAsia" w:ascii="宋体" w:hAnsi="宋体"/>
          <w:sz w:val="24"/>
        </w:rPr>
        <w:t>　　　　　  　 联系电话：</w:t>
      </w:r>
      <w:r>
        <w:rPr>
          <w:rFonts w:hint="eastAsia" w:ascii="宋体" w:hAnsi="宋体" w:cs="宋体"/>
          <w:color w:val="000000"/>
          <w:sz w:val="24"/>
          <w:lang w:val="en-US" w:eastAsia="zh-CN"/>
        </w:rPr>
        <w:t>18151380879</w:t>
      </w:r>
    </w:p>
    <w:p>
      <w:pPr>
        <w:pStyle w:val="4"/>
        <w:spacing w:line="500" w:lineRule="exact"/>
        <w:rPr>
          <w:rFonts w:ascii="宋体" w:hAnsi="宋体" w:eastAsia="宋体"/>
          <w:b w:val="0"/>
          <w:bCs w:val="0"/>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第二章</w:t>
      </w:r>
      <w:bookmarkEnd w:id="1"/>
      <w:bookmarkEnd w:id="2"/>
      <w:bookmarkEnd w:id="3"/>
      <w:bookmarkEnd w:id="4"/>
      <w:bookmarkEnd w:id="5"/>
      <w:bookmarkEnd w:id="6"/>
      <w:bookmarkStart w:id="7" w:name="_Toc513029202"/>
      <w:bookmarkStart w:id="8" w:name="_Toc20823274"/>
      <w:bookmarkStart w:id="9" w:name="_Toc16938518"/>
      <w:bookmarkStart w:id="10" w:name="_Toc120614213"/>
      <w:r>
        <w:rPr>
          <w:rFonts w:hint="eastAsia" w:ascii="宋体" w:hAnsi="宋体" w:eastAsia="宋体"/>
          <w:color w:val="000000" w:themeColor="text1"/>
          <w14:textFill>
            <w14:solidFill>
              <w14:schemeClr w14:val="tx1"/>
            </w14:solidFill>
          </w14:textFill>
        </w:rPr>
        <w:t xml:space="preserve">  投标人须知</w:t>
      </w:r>
      <w:bookmarkEnd w:id="7"/>
      <w:bookmarkEnd w:id="8"/>
      <w:bookmarkEnd w:id="9"/>
      <w:bookmarkEnd w:id="10"/>
    </w:p>
    <w:p>
      <w:pPr>
        <w:pStyle w:val="6"/>
        <w:spacing w:beforeLines="50" w:afterLines="50" w:line="500" w:lineRule="exact"/>
        <w:ind w:firstLine="373" w:firstLineChars="155"/>
        <w:rPr>
          <w:rFonts w:ascii="宋体"/>
          <w:color w:val="000000" w:themeColor="text1"/>
          <w:sz w:val="24"/>
          <w:szCs w:val="24"/>
          <w14:textFill>
            <w14:solidFill>
              <w14:schemeClr w14:val="tx1"/>
            </w14:solidFill>
          </w14:textFill>
        </w:rPr>
      </w:pPr>
      <w:bookmarkStart w:id="11" w:name="_Toc120614214"/>
      <w:bookmarkStart w:id="12" w:name="_Toc20823275"/>
      <w:bookmarkStart w:id="13" w:name="_Toc513029203"/>
      <w:bookmarkStart w:id="14" w:name="_Toc16938519"/>
      <w:r>
        <w:rPr>
          <w:rFonts w:hint="eastAsia" w:ascii="宋体" w:hAnsi="宋体"/>
          <w:color w:val="000000" w:themeColor="text1"/>
          <w:sz w:val="24"/>
          <w:szCs w:val="24"/>
          <w14:textFill>
            <w14:solidFill>
              <w14:schemeClr w14:val="tx1"/>
            </w14:solidFill>
          </w14:textFill>
        </w:rPr>
        <w:t>一、总则</w:t>
      </w:r>
      <w:bookmarkEnd w:id="11"/>
      <w:bookmarkEnd w:id="12"/>
      <w:bookmarkEnd w:id="13"/>
      <w:bookmarkEnd w:id="14"/>
    </w:p>
    <w:p>
      <w:pPr>
        <w:pStyle w:val="7"/>
        <w:spacing w:before="0" w:after="0" w:line="500" w:lineRule="exact"/>
        <w:ind w:firstLine="361" w:firstLineChars="150"/>
        <w:rPr>
          <w:rFonts w:ascii="宋体" w:hAnsi="宋体" w:eastAsia="宋体"/>
          <w:color w:val="000000" w:themeColor="text1"/>
          <w:sz w:val="24"/>
          <w:szCs w:val="24"/>
          <w14:textFill>
            <w14:solidFill>
              <w14:schemeClr w14:val="tx1"/>
            </w14:solidFill>
          </w14:textFill>
        </w:rPr>
      </w:pPr>
      <w:bookmarkStart w:id="15" w:name="_Toc458694821"/>
      <w:bookmarkStart w:id="16" w:name="_Toc513029204"/>
      <w:bookmarkStart w:id="17" w:name="_Toc20823276"/>
      <w:bookmarkStart w:id="18" w:name="_Toc16938520"/>
      <w:r>
        <w:rPr>
          <w:rFonts w:ascii="宋体" w:hAnsi="宋体" w:eastAsia="宋体"/>
          <w:color w:val="000000" w:themeColor="text1"/>
          <w:sz w:val="24"/>
          <w:szCs w:val="24"/>
          <w14:textFill>
            <w14:solidFill>
              <w14:schemeClr w14:val="tx1"/>
            </w14:solidFill>
          </w14:textFill>
        </w:rPr>
        <w:t>1</w:t>
      </w:r>
      <w:bookmarkEnd w:id="15"/>
      <w:r>
        <w:rPr>
          <w:rFonts w:hint="eastAsia" w:ascii="宋体" w:hAnsi="宋体" w:eastAsia="宋体"/>
          <w:color w:val="000000" w:themeColor="text1"/>
          <w:sz w:val="24"/>
          <w:szCs w:val="24"/>
          <w14:textFill>
            <w14:solidFill>
              <w14:schemeClr w14:val="tx1"/>
            </w14:solidFill>
          </w14:textFill>
        </w:rPr>
        <w:t>、招标方式</w:t>
      </w:r>
      <w:bookmarkEnd w:id="16"/>
      <w:bookmarkEnd w:id="17"/>
      <w:bookmarkEnd w:id="18"/>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1.1 </w:t>
      </w:r>
      <w:r>
        <w:rPr>
          <w:rFonts w:hint="eastAsia" w:ascii="宋体" w:hAnsi="宋体"/>
          <w:color w:val="000000" w:themeColor="text1"/>
          <w:sz w:val="24"/>
          <w:szCs w:val="24"/>
          <w14:textFill>
            <w14:solidFill>
              <w14:schemeClr w14:val="tx1"/>
            </w14:solidFill>
          </w14:textFill>
        </w:rPr>
        <w:t>本次招标采取公开招标方式，本招标文件仅适用于招标公告中所述项目。</w:t>
      </w:r>
    </w:p>
    <w:p>
      <w:pPr>
        <w:pStyle w:val="7"/>
        <w:spacing w:before="0" w:after="0" w:line="500" w:lineRule="exact"/>
        <w:ind w:firstLine="361" w:firstLineChars="150"/>
        <w:rPr>
          <w:rFonts w:ascii="宋体" w:hAnsi="宋体" w:eastAsia="宋体"/>
          <w:color w:val="000000" w:themeColor="text1"/>
          <w:sz w:val="24"/>
          <w:szCs w:val="24"/>
          <w14:textFill>
            <w14:solidFill>
              <w14:schemeClr w14:val="tx1"/>
            </w14:solidFill>
          </w14:textFill>
        </w:rPr>
      </w:pPr>
      <w:bookmarkStart w:id="19" w:name="_Toc20823277"/>
      <w:bookmarkStart w:id="20" w:name="_Toc16938521"/>
      <w:bookmarkStart w:id="21" w:name="_Toc513029205"/>
      <w:r>
        <w:rPr>
          <w:rFonts w:ascii="宋体" w:hAnsi="宋体" w:eastAsia="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w:t>
      </w:r>
      <w:bookmarkEnd w:id="19"/>
      <w:bookmarkEnd w:id="20"/>
      <w:bookmarkEnd w:id="21"/>
      <w:r>
        <w:rPr>
          <w:rFonts w:hint="eastAsia" w:ascii="宋体" w:hAnsi="宋体" w:eastAsia="宋体"/>
          <w:color w:val="000000" w:themeColor="text1"/>
          <w:sz w:val="24"/>
          <w:szCs w:val="24"/>
          <w14:textFill>
            <w14:solidFill>
              <w14:schemeClr w14:val="tx1"/>
            </w14:solidFill>
          </w14:textFill>
        </w:rPr>
        <w:t>投标人及项目负责人资格要求</w:t>
      </w:r>
    </w:p>
    <w:p>
      <w:pPr>
        <w:spacing w:line="500" w:lineRule="exact"/>
        <w:ind w:firstLine="482" w:firstLineChars="200"/>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t>2.1</w:t>
      </w:r>
      <w:r>
        <w:rPr>
          <w:rFonts w:hint="eastAsia" w:ascii="宋体" w:hAnsi="宋体"/>
          <w:b/>
          <w:bCs/>
          <w:color w:val="000000" w:themeColor="text1"/>
          <w:sz w:val="24"/>
          <w:szCs w:val="24"/>
          <w14:textFill>
            <w14:solidFill>
              <w14:schemeClr w14:val="tx1"/>
            </w14:solidFill>
          </w14:textFill>
        </w:rPr>
        <w:t>具有独立承担民事责任能力的法人企业，营业执照经营范围包含本次招标内容；投标人须在消防网中注册且能查询到的单位，单位类型为：消防设施维护保养检测。</w:t>
      </w:r>
    </w:p>
    <w:p>
      <w:pPr>
        <w:pStyle w:val="2"/>
        <w:ind w:firstLine="482"/>
      </w:pPr>
      <w:r>
        <w:rPr>
          <w:rFonts w:hint="eastAsia" w:ascii="宋体" w:hAnsi="宋体" w:eastAsia="宋体"/>
          <w:b/>
          <w:bCs/>
          <w:color w:val="000000" w:themeColor="text1"/>
          <w:sz w:val="24"/>
          <w:szCs w:val="24"/>
          <w14:textFill>
            <w14:solidFill>
              <w14:schemeClr w14:val="tx1"/>
            </w14:solidFill>
          </w14:textFill>
        </w:rPr>
        <w:t>2.2项目经理资质和要求：项目负责人为本单位正式职工。</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3满足本文件实质性条款的规定。</w:t>
      </w:r>
    </w:p>
    <w:p>
      <w:pPr>
        <w:pStyle w:val="7"/>
        <w:spacing w:before="0" w:after="0" w:line="500" w:lineRule="exact"/>
        <w:ind w:firstLine="361" w:firstLineChars="150"/>
        <w:rPr>
          <w:rFonts w:ascii="宋体" w:hAnsi="宋体" w:eastAsia="宋体"/>
          <w:color w:val="000000" w:themeColor="text1"/>
          <w:sz w:val="24"/>
          <w:szCs w:val="24"/>
          <w14:textFill>
            <w14:solidFill>
              <w14:schemeClr w14:val="tx1"/>
            </w14:solidFill>
          </w14:textFill>
        </w:rPr>
      </w:pPr>
      <w:bookmarkStart w:id="22" w:name="_Toc513029206"/>
      <w:bookmarkStart w:id="23" w:name="_Toc16938522"/>
      <w:bookmarkStart w:id="24" w:name="_Toc20823278"/>
      <w:r>
        <w:rPr>
          <w:rFonts w:ascii="宋体" w:hAnsi="宋体" w:eastAsia="宋体"/>
          <w:color w:val="000000" w:themeColor="text1"/>
          <w:sz w:val="24"/>
          <w:szCs w:val="24"/>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、适用法律</w:t>
      </w:r>
      <w:bookmarkEnd w:id="22"/>
      <w:bookmarkEnd w:id="23"/>
      <w:bookmarkEnd w:id="24"/>
    </w:p>
    <w:p>
      <w:pPr>
        <w:spacing w:line="500" w:lineRule="exact"/>
        <w:ind w:firstLine="420" w:firstLineChars="175"/>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3.1 </w:t>
      </w:r>
      <w:r>
        <w:rPr>
          <w:rFonts w:hint="eastAsia" w:ascii="宋体" w:hAnsi="宋体"/>
          <w:color w:val="000000" w:themeColor="text1"/>
          <w:sz w:val="24"/>
          <w:szCs w:val="24"/>
          <w14:textFill>
            <w14:solidFill>
              <w14:schemeClr w14:val="tx1"/>
            </w14:solidFill>
          </w14:textFill>
        </w:rPr>
        <w:t>本次招标及由此产生的合同受中华人民共和国有关的法律法规制约和保护。</w:t>
      </w:r>
    </w:p>
    <w:p>
      <w:pPr>
        <w:pStyle w:val="7"/>
        <w:spacing w:before="0" w:after="0" w:line="500" w:lineRule="exact"/>
        <w:ind w:firstLine="361" w:firstLineChars="150"/>
        <w:rPr>
          <w:rFonts w:ascii="宋体" w:hAnsi="宋体" w:eastAsia="宋体"/>
          <w:color w:val="000000" w:themeColor="text1"/>
          <w:sz w:val="24"/>
          <w:szCs w:val="24"/>
          <w14:textFill>
            <w14:solidFill>
              <w14:schemeClr w14:val="tx1"/>
            </w14:solidFill>
          </w14:textFill>
        </w:rPr>
      </w:pPr>
      <w:bookmarkStart w:id="25" w:name="_Toc16938523"/>
      <w:bookmarkStart w:id="26" w:name="_Toc20823279"/>
      <w:bookmarkStart w:id="27" w:name="_Toc462564067"/>
      <w:bookmarkStart w:id="28" w:name="_Toc513029207"/>
      <w:r>
        <w:rPr>
          <w:rFonts w:ascii="宋体" w:hAnsi="宋体" w:eastAsia="宋体"/>
          <w:color w:val="000000" w:themeColor="text1"/>
          <w:sz w:val="24"/>
          <w:szCs w:val="24"/>
          <w14:textFill>
            <w14:solidFill>
              <w14:schemeClr w14:val="tx1"/>
            </w14:solidFill>
          </w14:textFill>
        </w:rPr>
        <w:t>4</w:t>
      </w:r>
      <w:r>
        <w:rPr>
          <w:rFonts w:hint="eastAsia" w:ascii="宋体" w:hAnsi="宋体" w:eastAsia="宋体"/>
          <w:color w:val="000000" w:themeColor="text1"/>
          <w:sz w:val="24"/>
          <w:szCs w:val="24"/>
          <w14:textFill>
            <w14:solidFill>
              <w14:schemeClr w14:val="tx1"/>
            </w14:solidFill>
          </w14:textFill>
        </w:rPr>
        <w:t>、投标费用</w:t>
      </w:r>
      <w:bookmarkEnd w:id="25"/>
      <w:bookmarkEnd w:id="26"/>
      <w:bookmarkEnd w:id="27"/>
      <w:bookmarkEnd w:id="28"/>
    </w:p>
    <w:p>
      <w:pPr>
        <w:spacing w:line="500" w:lineRule="exact"/>
        <w:ind w:firstLine="480" w:firstLineChars="200"/>
        <w:rPr>
          <w:rFonts w:hint="eastAsia" w:ascii="宋体" w:hAnsi="宋体"/>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4.1</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投标人应自行承担所有与参加投标有关的费用，无论投标过程中的做法和结果如何，采购人在任何情况下均无义务和责任承担上述费用。</w:t>
      </w:r>
    </w:p>
    <w:p>
      <w:pPr>
        <w:pStyle w:val="2"/>
        <w:rPr>
          <w:rFonts w:hint="default" w:eastAsia="仿宋_GB2312"/>
          <w:lang w:val="en-US" w:eastAsia="zh-CN"/>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其中招标代理费用3000元由中标单位支付，请各潜在投标人自行考虑</w:t>
      </w:r>
      <w:r>
        <w:rPr>
          <w:rFonts w:hint="eastAsia"/>
          <w:lang w:val="en-US" w:eastAsia="zh-CN"/>
        </w:rPr>
        <w:t>。</w:t>
      </w:r>
    </w:p>
    <w:p>
      <w:pPr>
        <w:pStyle w:val="7"/>
        <w:spacing w:before="0" w:after="0" w:line="500" w:lineRule="exact"/>
        <w:ind w:firstLine="482" w:firstLineChars="200"/>
        <w:rPr>
          <w:rFonts w:ascii="宋体" w:hAnsi="宋体" w:eastAsia="宋体"/>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5</w:t>
      </w:r>
      <w:r>
        <w:rPr>
          <w:rFonts w:hint="eastAsia" w:ascii="宋体" w:hAnsi="宋体" w:eastAsia="宋体" w:cs="Times New Roman"/>
          <w:color w:val="000000" w:themeColor="text1"/>
          <w:sz w:val="24"/>
          <w:szCs w:val="24"/>
          <w14:textFill>
            <w14:solidFill>
              <w14:schemeClr w14:val="tx1"/>
            </w14:solidFill>
          </w14:textFill>
        </w:rPr>
        <w:t>、招</w:t>
      </w:r>
      <w:r>
        <w:rPr>
          <w:rFonts w:hint="eastAsia" w:ascii="宋体" w:hAnsi="宋体" w:eastAsia="宋体"/>
          <w:color w:val="000000" w:themeColor="text1"/>
          <w:sz w:val="24"/>
          <w:szCs w:val="24"/>
          <w14:textFill>
            <w14:solidFill>
              <w14:schemeClr w14:val="tx1"/>
            </w14:solidFill>
          </w14:textFill>
        </w:rPr>
        <w:t>标文件的约束力</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5.1</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投标人一旦参加本项目采购活动，即被认为接受了本招标文件的规定和约束，并且视为自招标公告期限届满之日起知道或应当知道自身权益是否受到了损害。</w:t>
      </w:r>
    </w:p>
    <w:p>
      <w:pPr>
        <w:pStyle w:val="7"/>
        <w:spacing w:before="0" w:after="0" w:line="500" w:lineRule="exact"/>
        <w:ind w:firstLine="482"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6</w:t>
      </w:r>
      <w:r>
        <w:rPr>
          <w:rFonts w:hint="eastAsia" w:ascii="宋体" w:hAnsi="宋体" w:eastAsia="宋体"/>
          <w:color w:val="000000" w:themeColor="text1"/>
          <w:sz w:val="24"/>
          <w:szCs w:val="24"/>
          <w14:textFill>
            <w14:solidFill>
              <w14:schemeClr w14:val="tx1"/>
            </w14:solidFill>
          </w14:textFill>
        </w:rPr>
        <w:t>、招标文件的解释</w:t>
      </w:r>
    </w:p>
    <w:p>
      <w:pPr>
        <w:spacing w:line="500" w:lineRule="exact"/>
        <w:ind w:firstLine="480" w:firstLineChars="200"/>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6.1 </w:t>
      </w:r>
      <w:r>
        <w:rPr>
          <w:rFonts w:hint="eastAsia" w:ascii="宋体" w:hAnsi="宋体"/>
          <w:bCs/>
          <w:color w:val="000000" w:themeColor="text1"/>
          <w:sz w:val="24"/>
          <w:szCs w:val="24"/>
          <w14:textFill>
            <w14:solidFill>
              <w14:schemeClr w14:val="tx1"/>
            </w14:solidFill>
          </w14:textFill>
        </w:rPr>
        <w:t>本招标文件由采购人负责解释。</w:t>
      </w:r>
    </w:p>
    <w:p>
      <w:pPr>
        <w:pStyle w:val="6"/>
        <w:spacing w:beforeLines="50" w:afterLines="50" w:line="500" w:lineRule="exact"/>
        <w:ind w:firstLine="241" w:firstLineChars="100"/>
        <w:rPr>
          <w:rFonts w:ascii="宋体"/>
          <w:color w:val="000000" w:themeColor="text1"/>
          <w:sz w:val="24"/>
          <w:szCs w:val="24"/>
          <w14:textFill>
            <w14:solidFill>
              <w14:schemeClr w14:val="tx1"/>
            </w14:solidFill>
          </w14:textFill>
        </w:rPr>
      </w:pPr>
      <w:bookmarkStart w:id="29" w:name="_Toc20823281"/>
      <w:bookmarkStart w:id="30" w:name="_Toc120614215"/>
      <w:bookmarkStart w:id="31" w:name="_Toc513029209"/>
      <w:bookmarkStart w:id="32" w:name="_Toc16938525"/>
      <w:r>
        <w:rPr>
          <w:rFonts w:hint="eastAsia" w:ascii="宋体" w:hAnsi="宋体"/>
          <w:color w:val="000000" w:themeColor="text1"/>
          <w:sz w:val="24"/>
          <w:szCs w:val="24"/>
          <w14:textFill>
            <w14:solidFill>
              <w14:schemeClr w14:val="tx1"/>
            </w14:solidFill>
          </w14:textFill>
        </w:rPr>
        <w:t>二、招标文件</w:t>
      </w:r>
      <w:bookmarkEnd w:id="29"/>
      <w:bookmarkEnd w:id="30"/>
      <w:bookmarkEnd w:id="31"/>
      <w:bookmarkEnd w:id="32"/>
    </w:p>
    <w:p>
      <w:pPr>
        <w:pStyle w:val="7"/>
        <w:spacing w:before="0" w:after="0" w:line="500" w:lineRule="exact"/>
        <w:ind w:firstLine="361" w:firstLineChars="150"/>
        <w:rPr>
          <w:rFonts w:ascii="宋体" w:hAnsi="宋体" w:eastAsia="宋体"/>
          <w:color w:val="000000" w:themeColor="text1"/>
          <w:sz w:val="24"/>
          <w:szCs w:val="24"/>
          <w14:textFill>
            <w14:solidFill>
              <w14:schemeClr w14:val="tx1"/>
            </w14:solidFill>
          </w14:textFill>
        </w:rPr>
      </w:pPr>
      <w:bookmarkStart w:id="33" w:name="_Toc20823282"/>
      <w:bookmarkStart w:id="34" w:name="_Toc513029210"/>
      <w:bookmarkStart w:id="35" w:name="_Toc16938526"/>
      <w:r>
        <w:rPr>
          <w:rFonts w:ascii="宋体" w:hAnsi="宋体" w:eastAsia="宋体"/>
          <w:color w:val="000000" w:themeColor="text1"/>
          <w:sz w:val="24"/>
          <w:szCs w:val="24"/>
          <w14:textFill>
            <w14:solidFill>
              <w14:schemeClr w14:val="tx1"/>
            </w14:solidFill>
          </w14:textFill>
        </w:rPr>
        <w:t>7</w:t>
      </w:r>
      <w:r>
        <w:rPr>
          <w:rFonts w:hint="eastAsia" w:ascii="宋体" w:hAnsi="宋体" w:eastAsia="宋体"/>
          <w:color w:val="000000" w:themeColor="text1"/>
          <w:sz w:val="24"/>
          <w:szCs w:val="24"/>
          <w14:textFill>
            <w14:solidFill>
              <w14:schemeClr w14:val="tx1"/>
            </w14:solidFill>
          </w14:textFill>
        </w:rPr>
        <w:t>、招标文件构成</w:t>
      </w:r>
      <w:bookmarkEnd w:id="33"/>
      <w:bookmarkEnd w:id="34"/>
      <w:bookmarkEnd w:id="35"/>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7.1</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招标文件有以下部分组成：</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7.1.1</w:t>
      </w:r>
      <w:r>
        <w:rPr>
          <w:rFonts w:hint="eastAsia" w:ascii="宋体" w:hAnsi="宋体"/>
          <w:color w:val="000000" w:themeColor="text1"/>
          <w:sz w:val="24"/>
          <w:szCs w:val="24"/>
          <w14:textFill>
            <w14:solidFill>
              <w14:schemeClr w14:val="tx1"/>
            </w14:solidFill>
          </w14:textFill>
        </w:rPr>
        <w:t>招标公告</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7.1.2</w:t>
      </w:r>
      <w:r>
        <w:rPr>
          <w:rFonts w:hint="eastAsia" w:ascii="宋体" w:hAnsi="宋体"/>
          <w:color w:val="000000" w:themeColor="text1"/>
          <w:sz w:val="24"/>
          <w:szCs w:val="24"/>
          <w14:textFill>
            <w14:solidFill>
              <w14:schemeClr w14:val="tx1"/>
            </w14:solidFill>
          </w14:textFill>
        </w:rPr>
        <w:t>投标人须知</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7.1.3</w:t>
      </w:r>
      <w:r>
        <w:rPr>
          <w:rFonts w:hint="eastAsia" w:ascii="宋体" w:hAnsi="宋体"/>
          <w:color w:val="000000" w:themeColor="text1"/>
          <w:sz w:val="24"/>
          <w:szCs w:val="24"/>
          <w14:textFill>
            <w14:solidFill>
              <w14:schemeClr w14:val="tx1"/>
            </w14:solidFill>
          </w14:textFill>
        </w:rPr>
        <w:t>合同条款及格式</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7.1.4</w:t>
      </w:r>
      <w:r>
        <w:rPr>
          <w:rFonts w:hint="eastAsia" w:ascii="宋体" w:hAnsi="宋体"/>
          <w:color w:val="000000" w:themeColor="text1"/>
          <w:sz w:val="24"/>
          <w:szCs w:val="24"/>
          <w14:textFill>
            <w14:solidFill>
              <w14:schemeClr w14:val="tx1"/>
            </w14:solidFill>
          </w14:textFill>
        </w:rPr>
        <w:t>采购需求</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7.1.5</w:t>
      </w:r>
      <w:r>
        <w:rPr>
          <w:rFonts w:hint="eastAsia" w:ascii="宋体" w:hAnsi="宋体"/>
          <w:color w:val="000000" w:themeColor="text1"/>
          <w:sz w:val="24"/>
          <w:szCs w:val="24"/>
          <w14:textFill>
            <w14:solidFill>
              <w14:schemeClr w14:val="tx1"/>
            </w14:solidFill>
          </w14:textFill>
        </w:rPr>
        <w:t>评标方法与评标标准</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7.1.6</w:t>
      </w:r>
      <w:r>
        <w:rPr>
          <w:rFonts w:hint="eastAsia" w:ascii="宋体" w:hAnsi="宋体"/>
          <w:color w:val="000000" w:themeColor="text1"/>
          <w:sz w:val="24"/>
          <w:szCs w:val="24"/>
          <w14:textFill>
            <w14:solidFill>
              <w14:schemeClr w14:val="tx1"/>
            </w14:solidFill>
          </w14:textFill>
        </w:rPr>
        <w:t>投标文件格式</w:t>
      </w:r>
    </w:p>
    <w:p>
      <w:pPr>
        <w:spacing w:line="5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请仔细检查招标文件是否齐全，如有缺漏请立即与采购人或采购代理机构联系解决。</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7.2</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投标人应认真阅读招标文件中所有的事项、格式、条款和规范等要求。按招标文件要求和规定编制投标文件，并保证所提供的全部资料的真实性，以使其投标文件对招标文件作出明确响应，否则其风险由投标人自行承担。</w:t>
      </w:r>
    </w:p>
    <w:p>
      <w:pPr>
        <w:pStyle w:val="7"/>
        <w:spacing w:before="0" w:after="0" w:line="500" w:lineRule="exact"/>
        <w:ind w:firstLine="482" w:firstLineChars="200"/>
        <w:rPr>
          <w:rFonts w:ascii="宋体" w:hAnsi="宋体" w:eastAsia="宋体"/>
          <w:color w:val="000000" w:themeColor="text1"/>
          <w:sz w:val="24"/>
          <w:szCs w:val="24"/>
          <w14:textFill>
            <w14:solidFill>
              <w14:schemeClr w14:val="tx1"/>
            </w14:solidFill>
          </w14:textFill>
        </w:rPr>
      </w:pPr>
      <w:bookmarkStart w:id="36" w:name="_Toc513029211"/>
      <w:bookmarkStart w:id="37" w:name="_Toc16938527"/>
      <w:bookmarkStart w:id="38" w:name="_Toc462564070"/>
      <w:bookmarkStart w:id="39" w:name="_Toc20823283"/>
      <w:r>
        <w:rPr>
          <w:rFonts w:ascii="宋体" w:hAnsi="宋体" w:eastAsia="宋体"/>
          <w:color w:val="000000" w:themeColor="text1"/>
          <w:sz w:val="24"/>
          <w:szCs w:val="24"/>
          <w14:textFill>
            <w14:solidFill>
              <w14:schemeClr w14:val="tx1"/>
            </w14:solidFill>
          </w14:textFill>
        </w:rPr>
        <w:t>8</w:t>
      </w:r>
      <w:r>
        <w:rPr>
          <w:rFonts w:hint="eastAsia" w:ascii="宋体" w:hAnsi="宋体" w:eastAsia="宋体"/>
          <w:color w:val="000000" w:themeColor="text1"/>
          <w:sz w:val="24"/>
          <w:szCs w:val="24"/>
          <w14:textFill>
            <w14:solidFill>
              <w14:schemeClr w14:val="tx1"/>
            </w14:solidFill>
          </w14:textFill>
        </w:rPr>
        <w:t>、招标文件的</w:t>
      </w:r>
      <w:bookmarkEnd w:id="36"/>
      <w:bookmarkEnd w:id="37"/>
      <w:bookmarkEnd w:id="38"/>
      <w:bookmarkEnd w:id="39"/>
      <w:r>
        <w:rPr>
          <w:rFonts w:hint="eastAsia" w:ascii="宋体" w:hAnsi="宋体" w:eastAsia="宋体"/>
          <w:color w:val="000000" w:themeColor="text1"/>
          <w:sz w:val="24"/>
          <w:szCs w:val="24"/>
          <w14:textFill>
            <w14:solidFill>
              <w14:schemeClr w14:val="tx1"/>
            </w14:solidFill>
          </w14:textFill>
        </w:rPr>
        <w:t>询问、澄清及修改</w:t>
      </w:r>
    </w:p>
    <w:p>
      <w:pPr>
        <w:spacing w:line="500" w:lineRule="exact"/>
        <w:ind w:firstLine="480" w:firstLineChars="200"/>
        <w:rPr>
          <w:rFonts w:ascii="宋体"/>
          <w:sz w:val="24"/>
          <w:szCs w:val="24"/>
        </w:rPr>
      </w:pPr>
      <w:r>
        <w:rPr>
          <w:rFonts w:ascii="宋体" w:hAnsi="宋体"/>
          <w:bCs/>
          <w:color w:val="000000" w:themeColor="text1"/>
          <w:sz w:val="24"/>
          <w:szCs w:val="24"/>
          <w14:textFill>
            <w14:solidFill>
              <w14:schemeClr w14:val="tx1"/>
            </w14:solidFill>
          </w14:textFill>
        </w:rPr>
        <w:t>8.1</w:t>
      </w:r>
      <w:r>
        <w:rPr>
          <w:rFonts w:hint="eastAsia" w:ascii="宋体" w:hAnsi="宋体"/>
          <w:color w:val="000000" w:themeColor="text1"/>
          <w:sz w:val="24"/>
          <w:szCs w:val="24"/>
          <w14:textFill>
            <w14:solidFill>
              <w14:schemeClr w14:val="tx1"/>
            </w14:solidFill>
          </w14:textFill>
        </w:rPr>
        <w:t>任何要求对招标文件进行</w:t>
      </w:r>
      <w:r>
        <w:rPr>
          <w:rFonts w:hint="eastAsia" w:ascii="宋体" w:hAnsi="宋体"/>
          <w:sz w:val="24"/>
          <w:szCs w:val="24"/>
        </w:rPr>
        <w:t>询问的投标人，应在投标截止日</w:t>
      </w:r>
      <w:r>
        <w:rPr>
          <w:rFonts w:hint="eastAsia" w:ascii="Arial" w:hAnsi="Arial" w:cs="Arial"/>
          <w:kern w:val="0"/>
          <w:sz w:val="24"/>
          <w:szCs w:val="24"/>
        </w:rPr>
        <w:t>期1日前按</w:t>
      </w:r>
      <w:r>
        <w:rPr>
          <w:rFonts w:hint="eastAsia" w:ascii="宋体" w:hAnsi="宋体"/>
          <w:sz w:val="24"/>
          <w:szCs w:val="24"/>
        </w:rPr>
        <w:t>文件中的通讯地址，向采购人或者采购代理机构提出。</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sz w:val="24"/>
          <w:szCs w:val="24"/>
        </w:rPr>
        <w:t xml:space="preserve">8.2 </w:t>
      </w:r>
      <w:r>
        <w:rPr>
          <w:rFonts w:hint="eastAsia" w:ascii="Arial" w:hAnsi="Arial" w:cs="Arial"/>
          <w:kern w:val="0"/>
          <w:sz w:val="24"/>
          <w:szCs w:val="24"/>
        </w:rPr>
        <w:t>澄清或者修改的内容可能影响投标文件编制的，采购人或者采购代理机构应当在投标截止时间至少1日前，以书面形式通知所有获取招标文件的潜在投标人；不足1日的，采购人或者采购代理机构应当顺</w:t>
      </w:r>
      <w:r>
        <w:rPr>
          <w:rFonts w:hint="eastAsia" w:ascii="Arial" w:hAnsi="Arial" w:cs="Arial"/>
          <w:color w:val="000000" w:themeColor="text1"/>
          <w:kern w:val="0"/>
          <w:sz w:val="24"/>
          <w:szCs w:val="24"/>
          <w14:textFill>
            <w14:solidFill>
              <w14:schemeClr w14:val="tx1"/>
            </w14:solidFill>
          </w14:textFill>
        </w:rPr>
        <w:t>延提交投标文件的截止时间。</w:t>
      </w:r>
    </w:p>
    <w:p>
      <w:pPr>
        <w:pStyle w:val="7"/>
        <w:spacing w:before="0" w:after="0" w:line="500" w:lineRule="exact"/>
        <w:ind w:firstLine="482" w:firstLineChars="200"/>
        <w:rPr>
          <w:rFonts w:ascii="宋体" w:hAnsi="宋体" w:eastAsia="宋体"/>
          <w:color w:val="000000" w:themeColor="text1"/>
          <w:sz w:val="24"/>
          <w:szCs w:val="24"/>
          <w14:textFill>
            <w14:solidFill>
              <w14:schemeClr w14:val="tx1"/>
            </w14:solidFill>
          </w14:textFill>
        </w:rPr>
      </w:pPr>
      <w:bookmarkStart w:id="40" w:name="_Toc16938528"/>
      <w:bookmarkStart w:id="41" w:name="_Toc462564071"/>
      <w:bookmarkStart w:id="42" w:name="_Toc20823284"/>
      <w:bookmarkStart w:id="43" w:name="_Toc513029212"/>
      <w:r>
        <w:rPr>
          <w:rFonts w:ascii="宋体" w:hAnsi="宋体" w:eastAsia="宋体"/>
          <w:color w:val="000000" w:themeColor="text1"/>
          <w:sz w:val="24"/>
          <w:szCs w:val="24"/>
          <w14:textFill>
            <w14:solidFill>
              <w14:schemeClr w14:val="tx1"/>
            </w14:solidFill>
          </w14:textFill>
        </w:rPr>
        <w:t>9</w:t>
      </w:r>
      <w:r>
        <w:rPr>
          <w:rFonts w:hint="eastAsia" w:ascii="宋体" w:hAnsi="宋体" w:eastAsia="宋体"/>
          <w:color w:val="000000" w:themeColor="text1"/>
          <w:sz w:val="24"/>
          <w:szCs w:val="24"/>
          <w14:textFill>
            <w14:solidFill>
              <w14:schemeClr w14:val="tx1"/>
            </w14:solidFill>
          </w14:textFill>
        </w:rPr>
        <w:t>、招标文件的修改</w:t>
      </w:r>
      <w:bookmarkEnd w:id="40"/>
      <w:bookmarkEnd w:id="41"/>
      <w:bookmarkEnd w:id="42"/>
      <w:bookmarkEnd w:id="43"/>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9.1</w:t>
      </w:r>
      <w:r>
        <w:rPr>
          <w:rFonts w:hint="eastAsia" w:ascii="宋体" w:hAnsi="宋体"/>
          <w:color w:val="000000" w:themeColor="text1"/>
          <w:sz w:val="24"/>
          <w:szCs w:val="24"/>
          <w14:textFill>
            <w14:solidFill>
              <w14:schemeClr w14:val="tx1"/>
            </w14:solidFill>
          </w14:textFill>
        </w:rPr>
        <w:t>在投标截止时间一天前，采购人或者采购代理机构可以对招标文件进行修改。</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9.2</w:t>
      </w:r>
      <w:r>
        <w:rPr>
          <w:rFonts w:hint="eastAsia" w:ascii="宋体" w:hAnsi="宋体"/>
          <w:color w:val="000000" w:themeColor="text1"/>
          <w:sz w:val="24"/>
          <w:szCs w:val="24"/>
          <w14:textFill>
            <w14:solidFill>
              <w14:schemeClr w14:val="tx1"/>
            </w14:solidFill>
          </w14:textFill>
        </w:rPr>
        <w:t>采购人有权依法推迟投标截止日期和开标日期。</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9.3</w:t>
      </w:r>
      <w:r>
        <w:rPr>
          <w:rFonts w:hint="eastAsia" w:ascii="宋体" w:hAnsi="宋体"/>
          <w:color w:val="000000" w:themeColor="text1"/>
          <w:sz w:val="24"/>
          <w:szCs w:val="24"/>
          <w14:textFill>
            <w14:solidFill>
              <w14:schemeClr w14:val="tx1"/>
            </w14:solidFill>
          </w14:textFill>
        </w:rPr>
        <w:t>招标文件的修改将</w:t>
      </w:r>
      <w:r>
        <w:rPr>
          <w:rFonts w:hint="eastAsia" w:ascii="Arial" w:hAnsi="Arial" w:cs="Arial"/>
          <w:kern w:val="0"/>
          <w:sz w:val="24"/>
          <w:szCs w:val="24"/>
        </w:rPr>
        <w:t>以书面形式通知所有获取招标文件的潜在投标人</w:t>
      </w:r>
      <w:r>
        <w:rPr>
          <w:rFonts w:hint="eastAsia" w:ascii="宋体" w:hAnsi="宋体"/>
          <w:color w:val="000000" w:themeColor="text1"/>
          <w:sz w:val="24"/>
          <w:szCs w:val="24"/>
          <w14:textFill>
            <w14:solidFill>
              <w14:schemeClr w14:val="tx1"/>
            </w14:solidFill>
          </w14:textFill>
        </w:rPr>
        <w:t>，补充文件将作为招标文件的组成部分，并对投标人具有约束力。</w:t>
      </w:r>
    </w:p>
    <w:p>
      <w:pPr>
        <w:pStyle w:val="6"/>
        <w:spacing w:beforeLines="50" w:afterLines="50" w:line="500" w:lineRule="exact"/>
        <w:ind w:firstLine="361" w:firstLineChars="150"/>
        <w:rPr>
          <w:rFonts w:ascii="宋体"/>
          <w:color w:val="000000" w:themeColor="text1"/>
          <w:sz w:val="24"/>
          <w:szCs w:val="24"/>
          <w14:textFill>
            <w14:solidFill>
              <w14:schemeClr w14:val="tx1"/>
            </w14:solidFill>
          </w14:textFill>
        </w:rPr>
      </w:pPr>
      <w:bookmarkStart w:id="44" w:name="_Toc462564072"/>
      <w:bookmarkStart w:id="45" w:name="_Toc20823285"/>
      <w:bookmarkStart w:id="46" w:name="_Toc120614216"/>
      <w:bookmarkStart w:id="47" w:name="_Toc513029213"/>
      <w:bookmarkStart w:id="48" w:name="_Toc16938529"/>
      <w:r>
        <w:rPr>
          <w:rFonts w:hint="eastAsia" w:ascii="宋体" w:hAnsi="宋体"/>
          <w:color w:val="000000" w:themeColor="text1"/>
          <w:sz w:val="24"/>
          <w:szCs w:val="24"/>
          <w14:textFill>
            <w14:solidFill>
              <w14:schemeClr w14:val="tx1"/>
            </w14:solidFill>
          </w14:textFill>
        </w:rPr>
        <w:t>三、投标文件的编制</w:t>
      </w:r>
      <w:bookmarkEnd w:id="44"/>
      <w:bookmarkEnd w:id="45"/>
      <w:bookmarkEnd w:id="46"/>
      <w:bookmarkEnd w:id="47"/>
      <w:bookmarkEnd w:id="48"/>
    </w:p>
    <w:p>
      <w:pPr>
        <w:pStyle w:val="7"/>
        <w:spacing w:before="0" w:after="0" w:line="500" w:lineRule="exact"/>
        <w:ind w:firstLine="482" w:firstLineChars="200"/>
        <w:rPr>
          <w:rFonts w:ascii="宋体" w:hAnsi="宋体" w:eastAsia="宋体"/>
          <w:color w:val="000000" w:themeColor="text1"/>
          <w:sz w:val="24"/>
          <w:szCs w:val="24"/>
          <w14:textFill>
            <w14:solidFill>
              <w14:schemeClr w14:val="tx1"/>
            </w14:solidFill>
          </w14:textFill>
        </w:rPr>
      </w:pPr>
      <w:bookmarkStart w:id="49" w:name="_Toc20823286"/>
      <w:bookmarkStart w:id="50" w:name="_Toc513029214"/>
      <w:bookmarkStart w:id="51" w:name="_Toc462564073"/>
      <w:bookmarkStart w:id="52" w:name="_Toc16938530"/>
      <w:r>
        <w:rPr>
          <w:rFonts w:ascii="宋体" w:hAnsi="宋体" w:eastAsia="宋体"/>
          <w:color w:val="000000" w:themeColor="text1"/>
          <w:sz w:val="24"/>
          <w:szCs w:val="24"/>
          <w14:textFill>
            <w14:solidFill>
              <w14:schemeClr w14:val="tx1"/>
            </w14:solidFill>
          </w14:textFill>
        </w:rPr>
        <w:t>10</w:t>
      </w:r>
      <w:r>
        <w:rPr>
          <w:rFonts w:hint="eastAsia" w:ascii="宋体" w:hAnsi="宋体" w:eastAsia="宋体"/>
          <w:color w:val="000000" w:themeColor="text1"/>
          <w:sz w:val="24"/>
          <w:szCs w:val="24"/>
          <w14:textFill>
            <w14:solidFill>
              <w14:schemeClr w14:val="tx1"/>
            </w14:solidFill>
          </w14:textFill>
        </w:rPr>
        <w:t>、投标文件的语言及度量衡单位</w:t>
      </w:r>
      <w:bookmarkEnd w:id="49"/>
      <w:bookmarkEnd w:id="50"/>
      <w:bookmarkEnd w:id="51"/>
      <w:bookmarkEnd w:id="52"/>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10.1</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投标人提交的投标文件以及投标人与采购人就有关投标的所有来往通知、函件和文件均应使用</w:t>
      </w:r>
      <w:r>
        <w:rPr>
          <w:rFonts w:hint="eastAsia" w:ascii="宋体" w:hAnsi="宋体"/>
          <w:b/>
          <w:bCs/>
          <w:color w:val="000000" w:themeColor="text1"/>
          <w:sz w:val="24"/>
          <w:szCs w:val="24"/>
          <w14:textFill>
            <w14:solidFill>
              <w14:schemeClr w14:val="tx1"/>
            </w14:solidFill>
          </w14:textFill>
        </w:rPr>
        <w:t>简体中文</w:t>
      </w:r>
      <w:r>
        <w:rPr>
          <w:rFonts w:hint="eastAsia" w:ascii="宋体" w:hAnsi="宋体"/>
          <w:color w:val="000000" w:themeColor="text1"/>
          <w:sz w:val="24"/>
          <w:szCs w:val="24"/>
          <w14:textFill>
            <w14:solidFill>
              <w14:schemeClr w14:val="tx1"/>
            </w14:solidFill>
          </w14:textFill>
        </w:rPr>
        <w:t>。</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10.2</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除技术性能另有规定外，投标文件所使用的度量衡单位，均须采用国家法定计量单位。</w:t>
      </w:r>
    </w:p>
    <w:p>
      <w:pPr>
        <w:pStyle w:val="7"/>
        <w:spacing w:before="0" w:after="0" w:line="500" w:lineRule="exact"/>
        <w:ind w:firstLine="482" w:firstLineChars="200"/>
        <w:rPr>
          <w:rFonts w:ascii="宋体" w:hAnsi="宋体" w:eastAsia="宋体"/>
          <w:color w:val="000000" w:themeColor="text1"/>
          <w:sz w:val="24"/>
          <w:szCs w:val="24"/>
          <w14:textFill>
            <w14:solidFill>
              <w14:schemeClr w14:val="tx1"/>
            </w14:solidFill>
          </w14:textFill>
        </w:rPr>
      </w:pPr>
      <w:bookmarkStart w:id="53" w:name="_Toc462564074"/>
      <w:bookmarkStart w:id="54" w:name="_Toc16938531"/>
      <w:bookmarkStart w:id="55" w:name="_Toc513029215"/>
      <w:bookmarkStart w:id="56" w:name="_Toc20823287"/>
      <w:r>
        <w:rPr>
          <w:rFonts w:ascii="宋体" w:hAnsi="宋体" w:eastAsia="宋体"/>
          <w:color w:val="000000" w:themeColor="text1"/>
          <w:sz w:val="24"/>
          <w:szCs w:val="24"/>
          <w14:textFill>
            <w14:solidFill>
              <w14:schemeClr w14:val="tx1"/>
            </w14:solidFill>
          </w14:textFill>
        </w:rPr>
        <w:t>11</w:t>
      </w:r>
      <w:r>
        <w:rPr>
          <w:rFonts w:hint="eastAsia" w:ascii="宋体" w:hAnsi="宋体" w:eastAsia="宋体"/>
          <w:color w:val="000000" w:themeColor="text1"/>
          <w:sz w:val="24"/>
          <w:szCs w:val="24"/>
          <w14:textFill>
            <w14:solidFill>
              <w14:schemeClr w14:val="tx1"/>
            </w14:solidFill>
          </w14:textFill>
        </w:rPr>
        <w:t>、投标文件构成</w:t>
      </w:r>
      <w:bookmarkEnd w:id="53"/>
      <w:bookmarkEnd w:id="54"/>
      <w:bookmarkEnd w:id="55"/>
      <w:bookmarkEnd w:id="56"/>
    </w:p>
    <w:p>
      <w:pPr>
        <w:spacing w:line="500" w:lineRule="exact"/>
        <w:ind w:firstLine="480" w:firstLineChars="200"/>
        <w:rPr>
          <w:rFonts w:ascii="宋体"/>
          <w:sz w:val="24"/>
          <w:szCs w:val="24"/>
        </w:rPr>
      </w:pPr>
      <w:r>
        <w:rPr>
          <w:rFonts w:ascii="宋体" w:hAnsi="宋体"/>
          <w:bCs/>
          <w:sz w:val="24"/>
          <w:szCs w:val="24"/>
          <w:highlight w:val="none"/>
        </w:rPr>
        <w:t>11.1</w:t>
      </w:r>
      <w:r>
        <w:rPr>
          <w:rFonts w:ascii="宋体" w:hAnsi="宋体"/>
          <w:sz w:val="24"/>
          <w:szCs w:val="24"/>
          <w:highlight w:val="none"/>
        </w:rPr>
        <w:t xml:space="preserve"> </w:t>
      </w:r>
      <w:r>
        <w:rPr>
          <w:rFonts w:hint="eastAsia" w:ascii="宋体" w:hAnsi="宋体"/>
          <w:sz w:val="24"/>
          <w:szCs w:val="24"/>
          <w:highlight w:val="none"/>
        </w:rPr>
        <w:t>投标人编写的投标文件应包括资格、资格信誉等证明文件要求、报价清单、</w:t>
      </w:r>
      <w:r>
        <w:rPr>
          <w:rFonts w:hint="eastAsia" w:ascii="宋体" w:hAnsi="宋体"/>
          <w:sz w:val="24"/>
          <w:szCs w:val="24"/>
          <w:highlight w:val="none"/>
          <w:u w:val="single"/>
        </w:rPr>
        <w:t>技术参数偏离表（如有）、</w:t>
      </w:r>
      <w:r>
        <w:rPr>
          <w:rFonts w:hint="eastAsia" w:ascii="宋体" w:hAnsi="宋体"/>
          <w:sz w:val="24"/>
          <w:szCs w:val="24"/>
          <w:highlight w:val="none"/>
        </w:rPr>
        <w:t>商务条款响应及偏离表、技术及售后服务承诺书、投标函、开标一览表等部分；</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11.2</w:t>
      </w:r>
      <w:r>
        <w:rPr>
          <w:rFonts w:hint="eastAsia" w:ascii="宋体" w:hAnsi="宋体"/>
          <w:color w:val="000000" w:themeColor="text1"/>
          <w:sz w:val="24"/>
          <w:szCs w:val="24"/>
          <w14:textFill>
            <w14:solidFill>
              <w14:schemeClr w14:val="tx1"/>
            </w14:solidFill>
          </w14:textFill>
        </w:rPr>
        <w:t>投标人应将投标文件按顺序装订成册，并编制投标文件资料目录。</w:t>
      </w:r>
    </w:p>
    <w:p>
      <w:pPr>
        <w:pStyle w:val="7"/>
        <w:spacing w:before="0" w:after="0" w:line="500" w:lineRule="exact"/>
        <w:ind w:firstLine="482" w:firstLineChars="200"/>
        <w:rPr>
          <w:rFonts w:ascii="宋体" w:hAnsi="宋体" w:eastAsia="宋体"/>
          <w:color w:val="000000" w:themeColor="text1"/>
          <w:sz w:val="24"/>
          <w:szCs w:val="24"/>
          <w14:textFill>
            <w14:solidFill>
              <w14:schemeClr w14:val="tx1"/>
            </w14:solidFill>
          </w14:textFill>
        </w:rPr>
      </w:pPr>
      <w:bookmarkStart w:id="57" w:name="_Toc49090509"/>
      <w:bookmarkStart w:id="58" w:name="_Toc14577357"/>
      <w:bookmarkStart w:id="59" w:name="_Toc513029219"/>
      <w:bookmarkStart w:id="60" w:name="_Toc513029216"/>
      <w:bookmarkStart w:id="61" w:name="_Toc49090507"/>
      <w:bookmarkStart w:id="62" w:name="_Toc14577354"/>
      <w:r>
        <w:rPr>
          <w:rFonts w:ascii="宋体" w:hAnsi="宋体" w:eastAsia="宋体"/>
          <w:color w:val="000000" w:themeColor="text1"/>
          <w:sz w:val="24"/>
          <w:szCs w:val="24"/>
          <w14:textFill>
            <w14:solidFill>
              <w14:schemeClr w14:val="tx1"/>
            </w14:solidFill>
          </w14:textFill>
        </w:rPr>
        <w:t>12</w:t>
      </w:r>
      <w:r>
        <w:rPr>
          <w:rFonts w:hint="eastAsia" w:ascii="宋体" w:hAnsi="宋体" w:eastAsia="宋体"/>
          <w:color w:val="000000" w:themeColor="text1"/>
          <w:sz w:val="24"/>
          <w:szCs w:val="24"/>
          <w14:textFill>
            <w14:solidFill>
              <w14:schemeClr w14:val="tx1"/>
            </w14:solidFill>
          </w14:textFill>
        </w:rPr>
        <w:t>、证明投标人资格及符合招标文件规定的文件</w:t>
      </w:r>
      <w:bookmarkEnd w:id="57"/>
      <w:bookmarkEnd w:id="58"/>
      <w:bookmarkEnd w:id="59"/>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12.1</w:t>
      </w:r>
      <w:r>
        <w:rPr>
          <w:rFonts w:hint="eastAsia" w:ascii="宋体" w:hAnsi="宋体"/>
          <w:color w:val="000000" w:themeColor="text1"/>
          <w:sz w:val="24"/>
          <w:szCs w:val="24"/>
          <w14:textFill>
            <w14:solidFill>
              <w14:schemeClr w14:val="tx1"/>
            </w14:solidFill>
          </w14:textFill>
        </w:rPr>
        <w:t>投标人应按要求提交资格证明文件及符合招标文件规定的文件。</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12.2</w:t>
      </w:r>
      <w:r>
        <w:rPr>
          <w:rFonts w:hint="eastAsia" w:ascii="宋体" w:hAnsi="宋体"/>
          <w:color w:val="000000" w:themeColor="text1"/>
          <w:sz w:val="24"/>
          <w:szCs w:val="24"/>
          <w14:textFill>
            <w14:solidFill>
              <w14:schemeClr w14:val="tx1"/>
            </w14:solidFill>
          </w14:textFill>
        </w:rPr>
        <w:t>投标人应提交证明其有资格参加投标和中标后有能力独立履行合同的文件。</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12.3</w:t>
      </w:r>
      <w:r>
        <w:rPr>
          <w:rFonts w:hint="eastAsia" w:ascii="宋体" w:hAnsi="宋体"/>
          <w:color w:val="000000" w:themeColor="text1"/>
          <w:sz w:val="24"/>
          <w:szCs w:val="24"/>
          <w14:textFill>
            <w14:solidFill>
              <w14:schemeClr w14:val="tx1"/>
            </w14:solidFill>
          </w14:textFill>
        </w:rPr>
        <w:t>投标人除必须具有履行合同所需提供的货物以及服务的能力外，还必须具备相应的财务、技术方面的能力。</w:t>
      </w:r>
    </w:p>
    <w:p>
      <w:pPr>
        <w:spacing w:line="500" w:lineRule="exact"/>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12.4</w:t>
      </w:r>
      <w:r>
        <w:rPr>
          <w:rFonts w:hint="eastAsia" w:ascii="宋体" w:hAnsi="宋体"/>
          <w:color w:val="000000" w:themeColor="text1"/>
          <w:sz w:val="24"/>
          <w:szCs w:val="24"/>
          <w14:textFill>
            <w14:solidFill>
              <w14:schemeClr w14:val="tx1"/>
            </w14:solidFill>
          </w14:textFill>
        </w:rPr>
        <w:t>投标人应提交根据合同要求提供的证明产品质量合格以及符合招标文件规定的证明文件。</w:t>
      </w:r>
    </w:p>
    <w:p>
      <w:pPr>
        <w:spacing w:line="500" w:lineRule="exact"/>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12.5</w:t>
      </w:r>
      <w:r>
        <w:rPr>
          <w:rFonts w:hint="eastAsia" w:ascii="宋体" w:hAnsi="宋体"/>
          <w:color w:val="000000" w:themeColor="text1"/>
          <w:sz w:val="24"/>
          <w:szCs w:val="24"/>
          <w14:textFill>
            <w14:solidFill>
              <w14:schemeClr w14:val="tx1"/>
            </w14:solidFill>
          </w14:textFill>
        </w:rPr>
        <w:t>证明投标人所提供货物与招标文件的要求相一致的文件可以是手册、图纸、文字资料和数据</w:t>
      </w:r>
      <w:r>
        <w:rPr>
          <w:rFonts w:hint="eastAsia" w:ascii="宋体" w:hAnsi="宋体"/>
          <w:bCs/>
          <w:color w:val="000000" w:themeColor="text1"/>
          <w:sz w:val="24"/>
          <w:szCs w:val="24"/>
          <w14:textFill>
            <w14:solidFill>
              <w14:schemeClr w14:val="tx1"/>
            </w14:solidFill>
          </w14:textFill>
        </w:rPr>
        <w:t>。</w:t>
      </w:r>
    </w:p>
    <w:bookmarkEnd w:id="60"/>
    <w:bookmarkEnd w:id="61"/>
    <w:bookmarkEnd w:id="62"/>
    <w:p>
      <w:pPr>
        <w:pStyle w:val="7"/>
        <w:spacing w:before="0" w:after="0" w:line="500" w:lineRule="exact"/>
        <w:ind w:firstLine="482" w:firstLineChars="200"/>
        <w:rPr>
          <w:rFonts w:ascii="宋体" w:hAnsi="宋体" w:eastAsia="宋体"/>
          <w:color w:val="000000" w:themeColor="text1"/>
          <w:sz w:val="24"/>
          <w:szCs w:val="24"/>
          <w14:textFill>
            <w14:solidFill>
              <w14:schemeClr w14:val="tx1"/>
            </w14:solidFill>
          </w14:textFill>
        </w:rPr>
      </w:pPr>
      <w:bookmarkStart w:id="63" w:name="_Toc14577355"/>
      <w:bookmarkStart w:id="64" w:name="_Toc49090508"/>
      <w:r>
        <w:rPr>
          <w:rFonts w:ascii="宋体" w:hAnsi="宋体" w:eastAsia="宋体"/>
          <w:color w:val="000000" w:themeColor="text1"/>
          <w:sz w:val="24"/>
          <w:szCs w:val="24"/>
          <w14:textFill>
            <w14:solidFill>
              <w14:schemeClr w14:val="tx1"/>
            </w14:solidFill>
          </w14:textFill>
        </w:rPr>
        <w:t>13</w:t>
      </w:r>
      <w:r>
        <w:rPr>
          <w:rFonts w:hint="eastAsia" w:ascii="宋体" w:hAnsi="宋体" w:eastAsia="宋体"/>
          <w:color w:val="000000" w:themeColor="text1"/>
          <w:sz w:val="24"/>
          <w:szCs w:val="24"/>
          <w14:textFill>
            <w14:solidFill>
              <w14:schemeClr w14:val="tx1"/>
            </w14:solidFill>
          </w14:textFill>
        </w:rPr>
        <w:t>、</w:t>
      </w:r>
      <w:bookmarkEnd w:id="63"/>
      <w:r>
        <w:rPr>
          <w:rFonts w:hint="eastAsia" w:ascii="宋体" w:hAnsi="宋体" w:eastAsia="宋体"/>
          <w:color w:val="000000" w:themeColor="text1"/>
          <w:sz w:val="24"/>
          <w:szCs w:val="24"/>
          <w14:textFill>
            <w14:solidFill>
              <w14:schemeClr w14:val="tx1"/>
            </w14:solidFill>
          </w14:textFill>
        </w:rPr>
        <w:t>报价清单</w:t>
      </w:r>
      <w:bookmarkEnd w:id="64"/>
    </w:p>
    <w:p>
      <w:pPr>
        <w:spacing w:line="500" w:lineRule="exact"/>
        <w:ind w:firstLine="480" w:firstLineChars="200"/>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13.1</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投标人应按照招标文件规定格式填报报价清单，在表中标明所提供的设备品牌、规格、型号等。每项货物和服务等只允许有一个报价，任何有选择的报价将不予接受</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如有备选配件，备选配件的报价不属于选择的报价</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13.2</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标的物</w:t>
      </w:r>
    </w:p>
    <w:p>
      <w:pPr>
        <w:spacing w:line="5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采购人需求的货物供应、安装，调试及有关技术服务等</w:t>
      </w:r>
      <w:r>
        <w:rPr>
          <w:rFonts w:hint="eastAsia" w:ascii="宋体" w:hAnsi="宋体"/>
          <w:color w:val="000000" w:themeColor="text1"/>
          <w:sz w:val="24"/>
          <w:szCs w:val="24"/>
          <w14:textFill>
            <w14:solidFill>
              <w14:schemeClr w14:val="tx1"/>
            </w14:solidFill>
          </w14:textFill>
        </w:rPr>
        <w:t>。</w:t>
      </w:r>
    </w:p>
    <w:p>
      <w:pPr>
        <w:spacing w:line="500" w:lineRule="exact"/>
        <w:ind w:firstLine="480" w:firstLineChars="200"/>
        <w:rPr>
          <w:rFonts w:asci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13.3</w:t>
      </w:r>
      <w:r>
        <w:rPr>
          <w:rFonts w:hint="eastAsia" w:ascii="宋体" w:hAnsi="宋体"/>
          <w:bCs/>
          <w:color w:val="000000" w:themeColor="text1"/>
          <w:sz w:val="24"/>
          <w:szCs w:val="24"/>
          <w14:textFill>
            <w14:solidFill>
              <w14:schemeClr w14:val="tx1"/>
            </w14:solidFill>
          </w14:textFill>
        </w:rPr>
        <w:t>有关费用处理</w:t>
      </w:r>
    </w:p>
    <w:p>
      <w:pPr>
        <w:spacing w:line="5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投标报价采用总承包方式，投标人的报价应包括为完成本次投标服务及货物（含附配件）的采购、包装、运输、安装、调试、质保期内维保、培训、售后服务等所需的一切费用，包括但不限于：货物（含</w:t>
      </w:r>
      <w:r>
        <w:rPr>
          <w:rFonts w:hint="eastAsia" w:ascii="宋体" w:hAnsi="宋体"/>
          <w:color w:val="000000" w:themeColor="text1"/>
          <w:sz w:val="24"/>
          <w:szCs w:val="24"/>
          <w:lang w:val="en-US" w:eastAsia="zh-CN"/>
          <w14:textFill>
            <w14:solidFill>
              <w14:schemeClr w14:val="tx1"/>
            </w14:solidFill>
          </w14:textFill>
        </w:rPr>
        <w:t>200</w:t>
      </w:r>
      <w:r>
        <w:rPr>
          <w:rFonts w:hint="eastAsia" w:ascii="宋体" w:hAnsi="宋体"/>
          <w:color w:val="000000" w:themeColor="text1"/>
          <w:sz w:val="24"/>
          <w:szCs w:val="24"/>
          <w14:textFill>
            <w14:solidFill>
              <w14:schemeClr w14:val="tx1"/>
            </w14:solidFill>
          </w14:textFill>
        </w:rPr>
        <w:t>元以下（含</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00元）的</w:t>
      </w:r>
      <w:r>
        <w:rPr>
          <w:rFonts w:hint="eastAsia" w:ascii="宋体" w:hAnsi="宋体"/>
          <w:color w:val="000000" w:themeColor="text1"/>
          <w:sz w:val="24"/>
          <w:szCs w:val="24"/>
          <w:lang w:eastAsia="zh-CN"/>
          <w14:textFill>
            <w14:solidFill>
              <w14:schemeClr w14:val="tx1"/>
            </w14:solidFill>
          </w14:textFill>
        </w:rPr>
        <w:t>附</w:t>
      </w:r>
      <w:r>
        <w:rPr>
          <w:rFonts w:hint="eastAsia" w:ascii="宋体" w:hAnsi="宋体"/>
          <w:color w:val="000000" w:themeColor="text1"/>
          <w:sz w:val="24"/>
          <w:szCs w:val="24"/>
          <w14:textFill>
            <w14:solidFill>
              <w14:schemeClr w14:val="tx1"/>
            </w14:solidFill>
          </w14:textFill>
        </w:rPr>
        <w:t>配件更换）价格、包装费、运输费、装卸费、保险费、安装费、调试费、技术服务费、检测费、质保期内维保费、培训费、售后服务费、管理费、税金、利润、各类风险费、不可预见费及其他一切相关费用等所有费用。</w:t>
      </w:r>
    </w:p>
    <w:p>
      <w:pPr>
        <w:spacing w:line="500" w:lineRule="exact"/>
        <w:ind w:firstLine="480" w:firstLineChars="200"/>
        <w:rPr>
          <w:rFonts w:asci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13.4</w:t>
      </w:r>
      <w:r>
        <w:rPr>
          <w:rFonts w:hint="eastAsia" w:ascii="宋体" w:hAnsi="宋体"/>
          <w:bCs/>
          <w:color w:val="000000" w:themeColor="text1"/>
          <w:sz w:val="24"/>
          <w:szCs w:val="24"/>
          <w14:textFill>
            <w14:solidFill>
              <w14:schemeClr w14:val="tx1"/>
            </w14:solidFill>
          </w14:textFill>
        </w:rPr>
        <w:t>其它费用处理</w:t>
      </w:r>
    </w:p>
    <w:p>
      <w:pPr>
        <w:spacing w:line="5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招标文件未列明，而投标人认为必需的费用也需列入报价。</w:t>
      </w:r>
    </w:p>
    <w:p>
      <w:pPr>
        <w:spacing w:line="500" w:lineRule="exact"/>
        <w:ind w:firstLine="480" w:firstLineChars="200"/>
        <w:rPr>
          <w:rFonts w:asci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13.5</w:t>
      </w:r>
      <w:r>
        <w:rPr>
          <w:rFonts w:hint="eastAsia" w:ascii="宋体" w:hAnsi="宋体"/>
          <w:bCs/>
          <w:color w:val="000000" w:themeColor="text1"/>
          <w:sz w:val="24"/>
          <w:szCs w:val="24"/>
          <w14:textFill>
            <w14:solidFill>
              <w14:schemeClr w14:val="tx1"/>
            </w14:solidFill>
          </w14:textFill>
        </w:rPr>
        <w:t>投标货币</w:t>
      </w:r>
    </w:p>
    <w:p>
      <w:pPr>
        <w:spacing w:line="5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投标文件中的货物单价和总价无特殊规定的采用人民币报价，以元为单位标注。</w:t>
      </w:r>
      <w:r>
        <w:rPr>
          <w:rFonts w:hint="eastAsia" w:ascii="宋体" w:hAnsi="宋体"/>
          <w:color w:val="000000" w:themeColor="text1"/>
          <w:sz w:val="24"/>
          <w:szCs w:val="24"/>
          <w14:textFill>
            <w14:solidFill>
              <w14:schemeClr w14:val="tx1"/>
            </w14:solidFill>
          </w14:textFill>
        </w:rPr>
        <w:t>招标文件中另有规定的按规定执行。</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13.6</w:t>
      </w:r>
      <w:r>
        <w:rPr>
          <w:rFonts w:hint="eastAsia" w:ascii="宋体" w:hAnsi="宋体"/>
          <w:bCs/>
          <w:color w:val="000000" w:themeColor="text1"/>
          <w:sz w:val="24"/>
          <w:szCs w:val="24"/>
          <w14:textFill>
            <w14:solidFill>
              <w14:schemeClr w14:val="tx1"/>
            </w14:solidFill>
          </w14:textFill>
        </w:rPr>
        <w:t>报价清单上的价格应按下列方式分开填写</w:t>
      </w:r>
      <w:r>
        <w:rPr>
          <w:rFonts w:hint="eastAsia" w:ascii="宋体" w:hAnsi="宋体"/>
          <w:color w:val="000000" w:themeColor="text1"/>
          <w:sz w:val="24"/>
          <w:szCs w:val="24"/>
          <w14:textFill>
            <w14:solidFill>
              <w14:schemeClr w14:val="tx1"/>
            </w14:solidFill>
          </w14:textFill>
        </w:rPr>
        <w:t>：</w:t>
      </w:r>
    </w:p>
    <w:p>
      <w:pPr>
        <w:spacing w:line="500" w:lineRule="exact"/>
        <w:ind w:firstLine="480" w:firstLineChars="200"/>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13.6.1</w:t>
      </w:r>
      <w:r>
        <w:rPr>
          <w:rFonts w:hint="eastAsia" w:ascii="宋体" w:hAnsi="宋体"/>
          <w:color w:val="000000" w:themeColor="text1"/>
          <w:sz w:val="24"/>
          <w:szCs w:val="24"/>
          <w14:textFill>
            <w14:solidFill>
              <w14:schemeClr w14:val="tx1"/>
            </w14:solidFill>
          </w14:textFill>
        </w:rPr>
        <w:t>项目总价：包括</w:t>
      </w:r>
      <w:r>
        <w:rPr>
          <w:rFonts w:hint="eastAsia" w:ascii="宋体" w:hAnsi="宋体"/>
          <w:bCs/>
          <w:color w:val="000000" w:themeColor="text1"/>
          <w:sz w:val="24"/>
          <w:szCs w:val="24"/>
          <w14:textFill>
            <w14:solidFill>
              <w14:schemeClr w14:val="tx1"/>
            </w14:solidFill>
          </w14:textFill>
        </w:rPr>
        <w:t>买方需求的货物价格</w:t>
      </w:r>
      <w:r>
        <w:rPr>
          <w:rFonts w:hint="eastAsia" w:ascii="宋体" w:hAnsi="宋体"/>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质量保证费用、培训费用及售后服务费用，项目在指定地点、环境交付、安装、调试、验收所需费用和所有</w:t>
      </w:r>
      <w:r>
        <w:rPr>
          <w:rFonts w:hint="eastAsia" w:ascii="宋体" w:hAnsi="宋体"/>
          <w:color w:val="000000" w:themeColor="text1"/>
          <w:sz w:val="24"/>
          <w:szCs w:val="24"/>
          <w14:textFill>
            <w14:solidFill>
              <w14:schemeClr w14:val="tx1"/>
            </w14:solidFill>
          </w14:textFill>
        </w:rPr>
        <w:t>相关税金费用</w:t>
      </w:r>
      <w:r>
        <w:rPr>
          <w:rFonts w:hint="eastAsia" w:ascii="宋体" w:hAnsi="宋体"/>
          <w:bCs/>
          <w:color w:val="000000" w:themeColor="text1"/>
          <w:sz w:val="24"/>
          <w:szCs w:val="24"/>
          <w14:textFill>
            <w14:solidFill>
              <w14:schemeClr w14:val="tx1"/>
            </w14:solidFill>
          </w14:textFill>
        </w:rPr>
        <w:t>及为完成整个项目所产生的其它所有费用。</w:t>
      </w:r>
    </w:p>
    <w:p>
      <w:pPr>
        <w:spacing w:line="500" w:lineRule="exact"/>
        <w:ind w:firstLine="480" w:firstLineChars="200"/>
        <w:rPr>
          <w:rFonts w:asci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13.6.2</w:t>
      </w:r>
      <w:r>
        <w:rPr>
          <w:rFonts w:hint="eastAsia" w:ascii="宋体" w:hAnsi="宋体"/>
          <w:bCs/>
          <w:color w:val="000000" w:themeColor="text1"/>
          <w:sz w:val="24"/>
          <w:szCs w:val="24"/>
          <w14:textFill>
            <w14:solidFill>
              <w14:schemeClr w14:val="tx1"/>
            </w14:solidFill>
          </w14:textFill>
        </w:rPr>
        <w:t>项目单价按报价清单表中要求填报。</w:t>
      </w:r>
    </w:p>
    <w:p>
      <w:pPr>
        <w:pStyle w:val="7"/>
        <w:spacing w:before="0" w:after="0" w:line="500" w:lineRule="exact"/>
        <w:ind w:firstLine="482" w:firstLineChars="200"/>
        <w:rPr>
          <w:rFonts w:ascii="宋体" w:hAnsi="宋体" w:eastAsia="宋体"/>
          <w:color w:val="000000" w:themeColor="text1"/>
          <w:sz w:val="24"/>
          <w:szCs w:val="24"/>
          <w14:textFill>
            <w14:solidFill>
              <w14:schemeClr w14:val="tx1"/>
            </w14:solidFill>
          </w14:textFill>
        </w:rPr>
      </w:pPr>
      <w:bookmarkStart w:id="65" w:name="_Toc49090510"/>
      <w:bookmarkStart w:id="66" w:name="_Toc14577359"/>
      <w:bookmarkStart w:id="67" w:name="_Toc16938558"/>
      <w:bookmarkStart w:id="68" w:name="_Toc120614221"/>
      <w:bookmarkStart w:id="69" w:name="_Toc479757207"/>
      <w:bookmarkStart w:id="70" w:name="_Toc513029242"/>
      <w:bookmarkStart w:id="71" w:name="_Toc20823314"/>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4、投标函和开标一览表</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4</w:t>
      </w:r>
      <w:r>
        <w:rPr>
          <w:rFonts w:ascii="宋体" w:hAnsi="宋体"/>
          <w:bCs/>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投标人应按照招标文件中提供的格式完整、正确填写投标函、开标一览表。</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4</w:t>
      </w:r>
      <w:r>
        <w:rPr>
          <w:rFonts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开标一览表中的价格应与投标文件中报价清单中的价格一致，如不一致，</w:t>
      </w:r>
      <w:r>
        <w:rPr>
          <w:rFonts w:hint="eastAsia" w:ascii="宋体" w:hAnsi="宋体"/>
          <w:color w:val="000000" w:themeColor="text1"/>
          <w:sz w:val="24"/>
          <w:szCs w:val="24"/>
          <w14:textFill>
            <w14:solidFill>
              <w14:schemeClr w14:val="tx1"/>
            </w14:solidFill>
          </w14:textFill>
        </w:rPr>
        <w:t>不作为无效投标处理</w:t>
      </w:r>
      <w:r>
        <w:rPr>
          <w:rFonts w:hint="eastAsia" w:ascii="宋体" w:hAnsi="宋体"/>
          <w:bCs/>
          <w:color w:val="000000" w:themeColor="text1"/>
          <w:sz w:val="24"/>
          <w:szCs w:val="24"/>
          <w14:textFill>
            <w14:solidFill>
              <w14:schemeClr w14:val="tx1"/>
            </w14:solidFill>
          </w14:textFill>
        </w:rPr>
        <w:t>，但评标时按开标一览表中价格为准</w:t>
      </w:r>
      <w:r>
        <w:rPr>
          <w:rFonts w:hint="eastAsia" w:ascii="宋体" w:hAnsi="宋体"/>
          <w:b/>
          <w:bCs/>
          <w:color w:val="000000" w:themeColor="text1"/>
          <w:sz w:val="24"/>
          <w:szCs w:val="24"/>
          <w14:textFill>
            <w14:solidFill>
              <w14:schemeClr w14:val="tx1"/>
            </w14:solidFill>
          </w14:textFill>
        </w:rPr>
        <w:t>。</w:t>
      </w:r>
    </w:p>
    <w:p>
      <w:pPr>
        <w:pStyle w:val="7"/>
        <w:spacing w:before="0" w:after="0" w:line="500" w:lineRule="exact"/>
        <w:ind w:firstLine="482" w:firstLineChars="200"/>
        <w:rPr>
          <w:rFonts w:ascii="宋体" w:hAnsi="宋体" w:eastAsia="宋体"/>
          <w:b w:val="0"/>
          <w:bCs w:val="0"/>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5、投标保证金</w:t>
      </w:r>
      <w:bookmarkEnd w:id="65"/>
      <w:bookmarkEnd w:id="66"/>
    </w:p>
    <w:p>
      <w:pPr>
        <w:spacing w:line="500" w:lineRule="exact"/>
        <w:ind w:firstLine="480" w:firstLineChars="200"/>
        <w:rPr>
          <w:rFonts w:asci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投标人按招标文件要求提交投标保证金，并作为投标文件的组成部分。</w:t>
      </w:r>
    </w:p>
    <w:p>
      <w:pPr>
        <w:spacing w:line="500" w:lineRule="exact"/>
        <w:ind w:firstLine="480" w:firstLineChars="200"/>
        <w:rPr>
          <w:rFonts w:asci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投标人未按要求提交投标保证金的投标无效。</w:t>
      </w:r>
    </w:p>
    <w:p>
      <w:pPr>
        <w:spacing w:line="500" w:lineRule="exact"/>
        <w:ind w:firstLine="482" w:firstLineChars="200"/>
        <w:rPr>
          <w:rFonts w:ascii="宋体"/>
          <w:b/>
          <w:bCs/>
          <w:color w:val="FF0000"/>
          <w:sz w:val="24"/>
          <w:szCs w:val="24"/>
        </w:rPr>
      </w:pPr>
      <w:r>
        <w:rPr>
          <w:rFonts w:ascii="宋体" w:hAnsi="宋体"/>
          <w:b/>
          <w:color w:val="FF0000"/>
          <w:sz w:val="24"/>
          <w:szCs w:val="24"/>
        </w:rPr>
        <w:t>1</w:t>
      </w:r>
      <w:r>
        <w:rPr>
          <w:rFonts w:hint="eastAsia" w:ascii="宋体" w:hAnsi="宋体"/>
          <w:b/>
          <w:color w:val="FF0000"/>
          <w:sz w:val="24"/>
          <w:szCs w:val="24"/>
        </w:rPr>
        <w:t>5</w:t>
      </w:r>
      <w:r>
        <w:rPr>
          <w:rFonts w:ascii="宋体" w:hAnsi="宋体"/>
          <w:b/>
          <w:color w:val="FF0000"/>
          <w:sz w:val="24"/>
          <w:szCs w:val="24"/>
        </w:rPr>
        <w:t>.3</w:t>
      </w:r>
      <w:r>
        <w:rPr>
          <w:rFonts w:hint="eastAsia" w:ascii="宋体" w:hAnsi="宋体"/>
          <w:b/>
          <w:bCs/>
          <w:color w:val="FF0000"/>
          <w:sz w:val="24"/>
          <w:szCs w:val="24"/>
        </w:rPr>
        <w:t>未中标单位于决标后现场退还投标保证金。</w:t>
      </w:r>
    </w:p>
    <w:p>
      <w:pPr>
        <w:spacing w:line="500" w:lineRule="exact"/>
        <w:ind w:firstLine="480" w:firstLineChars="200"/>
        <w:rPr>
          <w:rFonts w:asci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.4</w:t>
      </w:r>
      <w:r>
        <w:rPr>
          <w:rFonts w:hint="eastAsia" w:ascii="宋体" w:hAnsi="宋体"/>
          <w:bCs/>
          <w:color w:val="000000" w:themeColor="text1"/>
          <w:sz w:val="24"/>
          <w:szCs w:val="24"/>
          <w14:textFill>
            <w14:solidFill>
              <w14:schemeClr w14:val="tx1"/>
            </w14:solidFill>
          </w14:textFill>
        </w:rPr>
        <w:t>下列任何情况发生时，投标保证金将不予退还：</w:t>
      </w:r>
    </w:p>
    <w:p>
      <w:pPr>
        <w:spacing w:line="500" w:lineRule="exact"/>
        <w:ind w:firstLine="480" w:firstLineChars="200"/>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5</w:t>
      </w:r>
      <w:r>
        <w:rPr>
          <w:rFonts w:ascii="宋体" w:hAnsi="宋体"/>
          <w:bCs/>
          <w:color w:val="000000" w:themeColor="text1"/>
          <w:sz w:val="24"/>
          <w:szCs w:val="24"/>
          <w14:textFill>
            <w14:solidFill>
              <w14:schemeClr w14:val="tx1"/>
            </w14:solidFill>
          </w14:textFill>
        </w:rPr>
        <w:t>.4.1</w:t>
      </w:r>
      <w:r>
        <w:rPr>
          <w:rFonts w:hint="eastAsia" w:ascii="宋体" w:hAnsi="宋体"/>
          <w:bCs/>
          <w:color w:val="000000" w:themeColor="text1"/>
          <w:sz w:val="24"/>
          <w:szCs w:val="24"/>
          <w14:textFill>
            <w14:solidFill>
              <w14:schemeClr w14:val="tx1"/>
            </w14:solidFill>
          </w14:textFill>
        </w:rPr>
        <w:t>投标人在投标有效期内撤销投标文件的；</w:t>
      </w:r>
    </w:p>
    <w:p>
      <w:pPr>
        <w:spacing w:line="500" w:lineRule="exact"/>
        <w:ind w:firstLine="480" w:firstLineChars="200"/>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5</w:t>
      </w:r>
      <w:r>
        <w:rPr>
          <w:rFonts w:ascii="宋体" w:hAnsi="宋体"/>
          <w:bCs/>
          <w:color w:val="000000" w:themeColor="text1"/>
          <w:sz w:val="24"/>
          <w:szCs w:val="24"/>
          <w14:textFill>
            <w14:solidFill>
              <w14:schemeClr w14:val="tx1"/>
            </w14:solidFill>
          </w14:textFill>
        </w:rPr>
        <w:t>.4.2</w:t>
      </w:r>
      <w:r>
        <w:rPr>
          <w:rFonts w:hint="eastAsia" w:ascii="宋体" w:hAnsi="宋体"/>
          <w:bCs/>
          <w:color w:val="000000" w:themeColor="text1"/>
          <w:sz w:val="24"/>
          <w:szCs w:val="24"/>
          <w14:textFill>
            <w14:solidFill>
              <w14:schemeClr w14:val="tx1"/>
            </w14:solidFill>
          </w14:textFill>
        </w:rPr>
        <w:t>投标人提供的相关资料、资格、资信证明文件被确认是不真实的；</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.4.3</w:t>
      </w:r>
      <w:r>
        <w:rPr>
          <w:rFonts w:hint="eastAsia" w:ascii="宋体" w:hAnsi="宋体"/>
          <w:color w:val="000000" w:themeColor="text1"/>
          <w:sz w:val="24"/>
          <w:szCs w:val="24"/>
          <w14:textFill>
            <w14:solidFill>
              <w14:schemeClr w14:val="tx1"/>
            </w14:solidFill>
          </w14:textFill>
        </w:rPr>
        <w:t>投标人之间被证实有串通（统一哄抬价格）、欺诈行为；</w:t>
      </w:r>
    </w:p>
    <w:p>
      <w:pPr>
        <w:spacing w:line="500" w:lineRule="exact"/>
        <w:ind w:left="1" w:firstLine="477" w:firstLineChars="199"/>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.4.4</w:t>
      </w:r>
      <w:r>
        <w:rPr>
          <w:rFonts w:hint="eastAsia" w:ascii="宋体" w:hAnsi="宋体"/>
          <w:color w:val="000000" w:themeColor="text1"/>
          <w:sz w:val="24"/>
          <w:szCs w:val="24"/>
          <w14:textFill>
            <w14:solidFill>
              <w14:schemeClr w14:val="tx1"/>
            </w14:solidFill>
          </w14:textFill>
        </w:rPr>
        <w:t>投标人被证明有妨碍其他人公平竞争、损害、采购人或者其他投标人合法权益的；</w:t>
      </w:r>
    </w:p>
    <w:p>
      <w:pPr>
        <w:spacing w:line="500" w:lineRule="exact"/>
        <w:ind w:left="1" w:firstLine="477" w:firstLineChars="199"/>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.4.5</w:t>
      </w:r>
      <w:r>
        <w:rPr>
          <w:rFonts w:hint="eastAsia" w:ascii="宋体" w:hAnsi="宋体"/>
          <w:color w:val="000000" w:themeColor="text1"/>
          <w:sz w:val="24"/>
          <w:szCs w:val="24"/>
          <w14:textFill>
            <w14:solidFill>
              <w14:schemeClr w14:val="tx1"/>
            </w14:solidFill>
          </w14:textFill>
        </w:rPr>
        <w:t>中标后无正当理由放弃中标项目的。</w:t>
      </w:r>
    </w:p>
    <w:p>
      <w:pPr>
        <w:pStyle w:val="7"/>
        <w:spacing w:before="0" w:after="0" w:line="500" w:lineRule="exact"/>
        <w:ind w:firstLine="361" w:firstLineChars="150"/>
        <w:rPr>
          <w:rFonts w:ascii="宋体" w:hAnsi="宋体" w:eastAsia="宋体"/>
          <w:color w:val="000000" w:themeColor="text1"/>
          <w:sz w:val="24"/>
          <w:szCs w:val="24"/>
          <w14:textFill>
            <w14:solidFill>
              <w14:schemeClr w14:val="tx1"/>
            </w14:solidFill>
          </w14:textFill>
        </w:rPr>
      </w:pPr>
      <w:bookmarkStart w:id="72" w:name="_Toc49090511"/>
      <w:bookmarkStart w:id="73" w:name="_Toc14577360"/>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6、投标有效期</w:t>
      </w:r>
      <w:bookmarkEnd w:id="72"/>
      <w:bookmarkEnd w:id="73"/>
    </w:p>
    <w:p>
      <w:pPr>
        <w:spacing w:line="500" w:lineRule="exact"/>
        <w:ind w:firstLine="480" w:firstLineChars="200"/>
        <w:rPr>
          <w:rFonts w:asci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6</w:t>
      </w:r>
      <w:r>
        <w:rPr>
          <w:rFonts w:ascii="宋体" w:hAnsi="宋体"/>
          <w:color w:val="000000" w:themeColor="text1"/>
          <w:sz w:val="24"/>
          <w:szCs w:val="24"/>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投标有效期为</w:t>
      </w:r>
      <w:r>
        <w:rPr>
          <w:rFonts w:ascii="宋体" w:hAnsi="宋体"/>
          <w:b/>
          <w:sz w:val="24"/>
          <w:szCs w:val="24"/>
          <w:u w:val="single"/>
        </w:rPr>
        <w:t>60</w:t>
      </w:r>
      <w:r>
        <w:rPr>
          <w:rFonts w:hint="eastAsia" w:ascii="宋体" w:hAnsi="宋体"/>
          <w:b/>
          <w:sz w:val="24"/>
          <w:szCs w:val="24"/>
        </w:rPr>
        <w:t>天</w:t>
      </w:r>
      <w:r>
        <w:rPr>
          <w:rFonts w:hint="eastAsia" w:ascii="宋体" w:hAnsi="宋体"/>
          <w:bCs/>
          <w:sz w:val="24"/>
          <w:szCs w:val="24"/>
        </w:rPr>
        <w:t>。</w:t>
      </w:r>
    </w:p>
    <w:p>
      <w:pPr>
        <w:spacing w:line="500" w:lineRule="exact"/>
        <w:ind w:firstLine="480" w:firstLineChars="200"/>
        <w:rPr>
          <w:rFonts w:asci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6</w:t>
      </w:r>
      <w:r>
        <w:rPr>
          <w:rFonts w:ascii="宋体" w:hAnsi="宋体"/>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在特殊情况下，采购人于原投标有效期满之前，可向投标人提出延长投标有效期的要求。这种要求与答复均应采用书面形式。投标人可以拒绝采购人的这一要求而放弃投标，</w:t>
      </w:r>
      <w:r>
        <w:rPr>
          <w:rFonts w:hint="eastAsia" w:ascii="宋体" w:hAnsi="宋体"/>
          <w:color w:val="000000" w:themeColor="text1"/>
          <w:sz w:val="24"/>
          <w:szCs w:val="24"/>
          <w14:textFill>
            <w14:solidFill>
              <w14:schemeClr w14:val="tx1"/>
            </w14:solidFill>
          </w14:textFill>
        </w:rPr>
        <w:t>采购人在接到投标人书面答复后，将在原投标有效期满后五日内</w:t>
      </w:r>
      <w:r>
        <w:rPr>
          <w:rFonts w:hint="eastAsia" w:ascii="宋体" w:hAnsi="宋体"/>
          <w:bCs/>
          <w:color w:val="000000" w:themeColor="text1"/>
          <w:sz w:val="24"/>
          <w:szCs w:val="24"/>
          <w14:textFill>
            <w14:solidFill>
              <w14:schemeClr w14:val="tx1"/>
            </w14:solidFill>
          </w14:textFill>
        </w:rPr>
        <w:t>无息退还其投标保证金</w:t>
      </w:r>
      <w:r>
        <w:rPr>
          <w:rFonts w:hint="eastAsia" w:ascii="宋体" w:hAnsi="宋体"/>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同意延长投标有效期的投标人既不能要求也不允许修改其投标文件。第</w:t>
      </w:r>
      <w:r>
        <w:rPr>
          <w:rFonts w:ascii="宋体" w:hAnsi="宋体"/>
          <w:bCs/>
          <w:color w:val="000000" w:themeColor="text1"/>
          <w:sz w:val="24"/>
          <w:szCs w:val="24"/>
          <w14:textFill>
            <w14:solidFill>
              <w14:schemeClr w14:val="tx1"/>
            </w14:solidFill>
          </w14:textFill>
        </w:rPr>
        <w:t>17</w:t>
      </w:r>
      <w:r>
        <w:rPr>
          <w:rFonts w:hint="eastAsia" w:ascii="宋体" w:hAnsi="宋体"/>
          <w:bCs/>
          <w:color w:val="000000" w:themeColor="text1"/>
          <w:sz w:val="24"/>
          <w:szCs w:val="24"/>
          <w14:textFill>
            <w14:solidFill>
              <w14:schemeClr w14:val="tx1"/>
            </w14:solidFill>
          </w14:textFill>
        </w:rPr>
        <w:t>条有关投标保证金的规定在延长期内继续有效</w:t>
      </w:r>
      <w:r>
        <w:rPr>
          <w:rFonts w:hint="eastAsia" w:ascii="宋体" w:hAnsi="宋体"/>
          <w:color w:val="000000" w:themeColor="text1"/>
          <w:sz w:val="24"/>
          <w:szCs w:val="24"/>
          <w14:textFill>
            <w14:solidFill>
              <w14:schemeClr w14:val="tx1"/>
            </w14:solidFill>
          </w14:textFill>
        </w:rPr>
        <w:t>，同时受投标有效期约束的所有权利与义务均延长至新的有效期</w:t>
      </w:r>
      <w:r>
        <w:rPr>
          <w:rFonts w:hint="eastAsia" w:ascii="宋体" w:hAnsi="宋体"/>
          <w:bCs/>
          <w:color w:val="000000" w:themeColor="text1"/>
          <w:sz w:val="24"/>
          <w:szCs w:val="24"/>
          <w14:textFill>
            <w14:solidFill>
              <w14:schemeClr w14:val="tx1"/>
            </w14:solidFill>
          </w14:textFill>
        </w:rPr>
        <w:t>。</w:t>
      </w:r>
    </w:p>
    <w:p>
      <w:pPr>
        <w:pStyle w:val="7"/>
        <w:spacing w:before="0" w:after="0" w:line="500" w:lineRule="exact"/>
        <w:ind w:firstLine="361" w:firstLineChars="150"/>
        <w:rPr>
          <w:rFonts w:ascii="宋体" w:hAnsi="宋体" w:eastAsia="宋体"/>
          <w:color w:val="000000" w:themeColor="text1"/>
          <w:sz w:val="24"/>
          <w:szCs w:val="24"/>
          <w14:textFill>
            <w14:solidFill>
              <w14:schemeClr w14:val="tx1"/>
            </w14:solidFill>
          </w14:textFill>
        </w:rPr>
      </w:pPr>
      <w:bookmarkStart w:id="74" w:name="_Toc14577361"/>
      <w:bookmarkStart w:id="75" w:name="_Toc49090512"/>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7、投标文件份数和签署</w:t>
      </w:r>
      <w:bookmarkEnd w:id="74"/>
      <w:bookmarkEnd w:id="75"/>
    </w:p>
    <w:p>
      <w:pPr>
        <w:spacing w:line="500" w:lineRule="exact"/>
        <w:ind w:firstLine="482" w:firstLineChars="200"/>
        <w:rPr>
          <w:rFonts w:ascii="宋体"/>
          <w:color w:val="000000" w:themeColor="text1"/>
          <w:sz w:val="24"/>
          <w:szCs w:val="24"/>
          <w14:textFill>
            <w14:solidFill>
              <w14:schemeClr w14:val="tx1"/>
            </w14:solidFill>
          </w14:textFill>
        </w:rPr>
      </w:pPr>
      <w:r>
        <w:rPr>
          <w:rFonts w:ascii="宋体" w:hAnsi="宋体"/>
          <w:b/>
          <w:color w:val="FF0000"/>
          <w:sz w:val="24"/>
          <w:szCs w:val="24"/>
        </w:rPr>
        <w:t>1</w:t>
      </w:r>
      <w:r>
        <w:rPr>
          <w:rFonts w:hint="eastAsia" w:ascii="宋体" w:hAnsi="宋体"/>
          <w:b/>
          <w:color w:val="FF0000"/>
          <w:sz w:val="24"/>
          <w:szCs w:val="24"/>
        </w:rPr>
        <w:t>7</w:t>
      </w:r>
      <w:r>
        <w:rPr>
          <w:rFonts w:ascii="宋体" w:hAnsi="宋体"/>
          <w:b/>
          <w:color w:val="FF0000"/>
          <w:sz w:val="24"/>
          <w:szCs w:val="24"/>
        </w:rPr>
        <w:t xml:space="preserve">.1 </w:t>
      </w:r>
      <w:r>
        <w:rPr>
          <w:rFonts w:hint="eastAsia" w:ascii="宋体" w:hAnsi="宋体"/>
          <w:b/>
          <w:color w:val="FF0000"/>
          <w:sz w:val="24"/>
          <w:szCs w:val="24"/>
        </w:rPr>
        <w:t>投标文件要求正本一份，副本两份</w:t>
      </w:r>
      <w:r>
        <w:rPr>
          <w:rFonts w:hint="eastAsia" w:ascii="宋体" w:hAnsi="宋体"/>
          <w:color w:val="000000" w:themeColor="text1"/>
          <w:sz w:val="24"/>
          <w:szCs w:val="24"/>
          <w14:textFill>
            <w14:solidFill>
              <w14:schemeClr w14:val="tx1"/>
            </w14:solidFill>
          </w14:textFill>
        </w:rPr>
        <w:t>。</w:t>
      </w:r>
    </w:p>
    <w:p>
      <w:pPr>
        <w:spacing w:line="500" w:lineRule="exact"/>
        <w:ind w:firstLine="480" w:firstLineChars="200"/>
        <w:rPr>
          <w:rFonts w:asci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7</w:t>
      </w:r>
      <w:r>
        <w:rPr>
          <w:rFonts w:ascii="宋体" w:hAnsi="宋体"/>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投标人应严格按照招标文件要求的份数准备投标文件，每份投标文件须清楚地标明“正本”或“副本”字样。一旦正本和副本不符，以正本为准。</w:t>
      </w:r>
    </w:p>
    <w:p>
      <w:pPr>
        <w:spacing w:line="500" w:lineRule="exact"/>
        <w:ind w:firstLine="480" w:firstLineChars="200"/>
        <w:rPr>
          <w:rFonts w:ascii="宋体"/>
          <w:bCs/>
          <w:sz w:val="24"/>
          <w:szCs w:val="24"/>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7</w:t>
      </w:r>
      <w:r>
        <w:rPr>
          <w:rFonts w:ascii="宋体" w:hAnsi="宋体"/>
          <w:color w:val="000000" w:themeColor="text1"/>
          <w:sz w:val="24"/>
          <w:szCs w:val="24"/>
          <w14:textFill>
            <w14:solidFill>
              <w14:schemeClr w14:val="tx1"/>
            </w14:solidFill>
          </w14:textFill>
        </w:rPr>
        <w:t>.3</w:t>
      </w:r>
      <w:r>
        <w:rPr>
          <w:rFonts w:hint="eastAsia" w:ascii="宋体" w:hAnsi="宋体"/>
          <w:bCs/>
          <w:color w:val="FF0000"/>
          <w:sz w:val="24"/>
          <w:szCs w:val="24"/>
        </w:rPr>
        <w:t>招标文件要求提供的原件须单独密封在一个封袋内，在封袋上标明项目名称、投标人名称并在封口处密封并加盖投标人公章，与投标文件一起提交。</w:t>
      </w:r>
      <w:r>
        <w:rPr>
          <w:rFonts w:hint="eastAsia" w:ascii="宋体" w:hAnsi="宋体"/>
          <w:color w:val="FF0000"/>
          <w:sz w:val="24"/>
          <w:szCs w:val="24"/>
        </w:rPr>
        <w:t>投标文件正本中，</w:t>
      </w:r>
      <w:r>
        <w:rPr>
          <w:rFonts w:hint="eastAsia" w:ascii="宋体" w:hAnsi="宋体"/>
          <w:bCs/>
          <w:color w:val="FF0000"/>
          <w:sz w:val="24"/>
          <w:szCs w:val="24"/>
        </w:rPr>
        <w:t>文</w:t>
      </w:r>
      <w:r>
        <w:rPr>
          <w:rFonts w:hint="eastAsia" w:ascii="宋体" w:hAnsi="宋体"/>
          <w:color w:val="FF0000"/>
          <w:sz w:val="24"/>
          <w:szCs w:val="24"/>
        </w:rPr>
        <w:t>字材料需打印或用不褪色墨水书写。投标文件的正本须经法定代表人或授权委托人（被授权人）签署和加盖投标人公章。本采购文件所表述（指定）的公章是指法定名称章，不包括合同专用章、业务专用章等印章。</w:t>
      </w:r>
    </w:p>
    <w:p>
      <w:pPr>
        <w:spacing w:line="500" w:lineRule="exact"/>
        <w:ind w:firstLine="480" w:firstLineChars="200"/>
        <w:rPr>
          <w:rFonts w:asci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7</w:t>
      </w:r>
      <w:r>
        <w:rPr>
          <w:rFonts w:ascii="宋体" w:hAnsi="宋体"/>
          <w:color w:val="000000" w:themeColor="text1"/>
          <w:sz w:val="24"/>
          <w:szCs w:val="24"/>
          <w14:textFill>
            <w14:solidFill>
              <w14:schemeClr w14:val="tx1"/>
            </w14:solidFill>
          </w14:textFill>
        </w:rPr>
        <w:t>.4</w:t>
      </w:r>
      <w:r>
        <w:rPr>
          <w:rFonts w:hint="eastAsia" w:ascii="宋体" w:hAnsi="宋体"/>
          <w:bCs/>
          <w:color w:val="000000" w:themeColor="text1"/>
          <w:sz w:val="24"/>
          <w:szCs w:val="24"/>
          <w14:textFill>
            <w14:solidFill>
              <w14:schemeClr w14:val="tx1"/>
            </w14:solidFill>
          </w14:textFill>
        </w:rPr>
        <w:t>除投标人对错处做必要修改外，投标文件不得行间插字、涂改或增删。如有修改错漏处，必须由投标文件签署人签字或盖章。</w:t>
      </w:r>
    </w:p>
    <w:p>
      <w:pPr>
        <w:pStyle w:val="6"/>
        <w:spacing w:beforeLines="50" w:afterLines="50" w:line="500" w:lineRule="exact"/>
        <w:ind w:firstLine="361" w:firstLineChars="150"/>
        <w:rPr>
          <w:rFonts w:ascii="宋体"/>
          <w:color w:val="000000" w:themeColor="text1"/>
          <w:sz w:val="24"/>
          <w:szCs w:val="24"/>
          <w14:textFill>
            <w14:solidFill>
              <w14:schemeClr w14:val="tx1"/>
            </w14:solidFill>
          </w14:textFill>
        </w:rPr>
      </w:pPr>
      <w:bookmarkStart w:id="76" w:name="_Toc20823296"/>
      <w:bookmarkStart w:id="77" w:name="_Toc16938540"/>
      <w:bookmarkStart w:id="78" w:name="_Toc120614217"/>
      <w:bookmarkStart w:id="79" w:name="_Toc513029224"/>
      <w:r>
        <w:rPr>
          <w:rFonts w:hint="eastAsia" w:ascii="宋体" w:hAnsi="宋体"/>
          <w:color w:val="000000" w:themeColor="text1"/>
          <w:sz w:val="24"/>
          <w:szCs w:val="24"/>
          <w14:textFill>
            <w14:solidFill>
              <w14:schemeClr w14:val="tx1"/>
            </w14:solidFill>
          </w14:textFill>
        </w:rPr>
        <w:t>四、投标文件的递交</w:t>
      </w:r>
      <w:bookmarkEnd w:id="76"/>
      <w:bookmarkEnd w:id="77"/>
      <w:bookmarkEnd w:id="78"/>
      <w:bookmarkEnd w:id="79"/>
    </w:p>
    <w:p>
      <w:pPr>
        <w:pStyle w:val="7"/>
        <w:spacing w:before="0" w:after="0" w:line="500" w:lineRule="exact"/>
        <w:ind w:firstLine="482" w:firstLineChars="200"/>
        <w:rPr>
          <w:rFonts w:ascii="宋体" w:hAnsi="宋体" w:eastAsia="宋体"/>
          <w:color w:val="000000" w:themeColor="text1"/>
          <w:sz w:val="24"/>
          <w:szCs w:val="24"/>
          <w14:textFill>
            <w14:solidFill>
              <w14:schemeClr w14:val="tx1"/>
            </w14:solidFill>
          </w14:textFill>
        </w:rPr>
      </w:pPr>
      <w:bookmarkStart w:id="80" w:name="_Toc20823297"/>
      <w:bookmarkStart w:id="81" w:name="_Toc513029225"/>
      <w:bookmarkStart w:id="82" w:name="_Toc462564084"/>
      <w:bookmarkStart w:id="83" w:name="_Toc16938541"/>
      <w:r>
        <w:rPr>
          <w:rFonts w:hint="eastAsia" w:ascii="宋体" w:hAnsi="宋体" w:eastAsia="宋体"/>
          <w:color w:val="000000" w:themeColor="text1"/>
          <w:sz w:val="24"/>
          <w:szCs w:val="24"/>
          <w14:textFill>
            <w14:solidFill>
              <w14:schemeClr w14:val="tx1"/>
            </w14:solidFill>
          </w14:textFill>
        </w:rPr>
        <w:t>18、投标文件的密封和标记</w:t>
      </w:r>
      <w:bookmarkEnd w:id="80"/>
      <w:bookmarkEnd w:id="81"/>
      <w:bookmarkEnd w:id="82"/>
      <w:bookmarkEnd w:id="83"/>
    </w:p>
    <w:p>
      <w:pPr>
        <w:spacing w:line="5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w:t>
      </w:r>
      <w:r>
        <w:rPr>
          <w:rFonts w:ascii="宋体" w:hAnsi="宋体"/>
          <w:color w:val="000000" w:themeColor="text1"/>
          <w:sz w:val="24"/>
          <w:szCs w:val="24"/>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投标人应将投标文件正本和所有副本密封，不论投标人中标与否，投标文件均不退回。</w:t>
      </w:r>
    </w:p>
    <w:p>
      <w:pPr>
        <w:spacing w:line="500" w:lineRule="exact"/>
        <w:ind w:firstLine="482" w:firstLineChars="200"/>
        <w:rPr>
          <w:rFonts w:ascii="宋体"/>
          <w:b/>
          <w:bCs/>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18</w:t>
      </w:r>
      <w:r>
        <w:rPr>
          <w:rFonts w:ascii="宋体" w:hAnsi="宋体"/>
          <w:b/>
          <w:color w:val="000000" w:themeColor="text1"/>
          <w:sz w:val="24"/>
          <w:szCs w:val="24"/>
          <w14:textFill>
            <w14:solidFill>
              <w14:schemeClr w14:val="tx1"/>
            </w14:solidFill>
          </w14:textFill>
        </w:rPr>
        <w:t>.2</w:t>
      </w:r>
      <w:r>
        <w:rPr>
          <w:rFonts w:hint="eastAsia" w:ascii="宋体" w:hAnsi="宋体"/>
          <w:b/>
          <w:bCs/>
          <w:color w:val="000000" w:themeColor="text1"/>
          <w:sz w:val="24"/>
          <w:szCs w:val="24"/>
          <w14:textFill>
            <w14:solidFill>
              <w14:schemeClr w14:val="tx1"/>
            </w14:solidFill>
          </w14:textFill>
        </w:rPr>
        <w:t>密封的投标文件应：</w:t>
      </w:r>
    </w:p>
    <w:p>
      <w:pPr>
        <w:spacing w:line="500" w:lineRule="exact"/>
        <w:ind w:firstLine="480" w:firstLineChars="200"/>
        <w:rPr>
          <w:rFonts w:ascii="宋体" w:hAnsi="宋体"/>
          <w:bCs/>
          <w:color w:val="000000" w:themeColor="text1"/>
          <w:sz w:val="24"/>
          <w:szCs w:val="24"/>
          <w14:textFill>
            <w14:solidFill>
              <w14:schemeClr w14:val="tx1"/>
            </w14:solidFill>
          </w14:textFill>
        </w:rPr>
      </w:pPr>
      <w:bookmarkStart w:id="84" w:name="_Toc20823298"/>
      <w:bookmarkStart w:id="85" w:name="_Toc513029226"/>
      <w:bookmarkStart w:id="86" w:name="_Toc16938542"/>
      <w:r>
        <w:rPr>
          <w:rFonts w:hint="eastAsia" w:ascii="宋体" w:hAnsi="宋体"/>
          <w:bCs/>
          <w:color w:val="000000" w:themeColor="text1"/>
          <w:sz w:val="24"/>
          <w:szCs w:val="24"/>
          <w14:textFill>
            <w14:solidFill>
              <w14:schemeClr w14:val="tx1"/>
            </w14:solidFill>
          </w14:textFill>
        </w:rPr>
        <w:t>18.2.1投标文件按招标文件的格式、样式要求装订、签署和盖章后装入封袋，封袋大小根据需要自行制作，在封袋上正确标明项目名称、投标人名称、包号。</w:t>
      </w:r>
    </w:p>
    <w:p>
      <w:pPr>
        <w:spacing w:line="5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18.2.2所有投标文件装入封袋后都必须在封口处密封并加盖投标人公章。</w:t>
      </w:r>
    </w:p>
    <w:p>
      <w:pPr>
        <w:spacing w:line="50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w:t>
      </w:r>
      <w:r>
        <w:rPr>
          <w:rFonts w:ascii="宋体" w:hAnsi="宋体"/>
          <w:color w:val="000000" w:themeColor="text1"/>
          <w:sz w:val="24"/>
          <w:szCs w:val="24"/>
          <w14:textFill>
            <w14:solidFill>
              <w14:schemeClr w14:val="tx1"/>
            </w14:solidFill>
          </w14:textFill>
        </w:rPr>
        <w:t>.2.3</w:t>
      </w:r>
      <w:r>
        <w:rPr>
          <w:rFonts w:hint="eastAsia" w:ascii="宋体" w:hAnsi="宋体"/>
          <w:bCs/>
          <w:color w:val="000000" w:themeColor="text1"/>
          <w:sz w:val="24"/>
          <w14:textFill>
            <w14:solidFill>
              <w14:schemeClr w14:val="tx1"/>
            </w14:solidFill>
          </w14:textFill>
        </w:rPr>
        <w:t>未按要求密封和加写标记的投标文件，采购人或采购代理机构将予以拒收。</w:t>
      </w:r>
    </w:p>
    <w:p>
      <w:pPr>
        <w:spacing w:line="5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19、投标截止日期</w:t>
      </w:r>
      <w:bookmarkEnd w:id="84"/>
      <w:bookmarkEnd w:id="85"/>
      <w:bookmarkEnd w:id="86"/>
    </w:p>
    <w:p>
      <w:pPr>
        <w:spacing w:line="5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19</w:t>
      </w:r>
      <w:r>
        <w:rPr>
          <w:rFonts w:ascii="宋体" w:hAnsi="宋体"/>
          <w:color w:val="000000" w:themeColor="text1"/>
          <w:sz w:val="24"/>
          <w:szCs w:val="24"/>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采购人或者采购代理机构收到投标文件的时间不得迟于招标文件中规定的截止时间。</w:t>
      </w:r>
    </w:p>
    <w:p>
      <w:pPr>
        <w:spacing w:line="5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19</w:t>
      </w:r>
      <w:r>
        <w:rPr>
          <w:rFonts w:ascii="宋体" w:hAnsi="宋体"/>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采购人有权通过修改招标文件酌情延长投标截止日期，在此情况下，投标人的所有权利和义务以及投标人受制的截止日期均应以延长后新的截止日期为准。</w:t>
      </w:r>
    </w:p>
    <w:p>
      <w:pPr>
        <w:pStyle w:val="7"/>
        <w:spacing w:before="0" w:after="0" w:line="500" w:lineRule="exact"/>
        <w:ind w:firstLine="482" w:firstLineChars="200"/>
        <w:rPr>
          <w:rFonts w:ascii="宋体" w:hAnsi="宋体" w:eastAsia="宋体"/>
          <w:color w:val="000000" w:themeColor="text1"/>
          <w:sz w:val="24"/>
          <w:szCs w:val="24"/>
          <w14:textFill>
            <w14:solidFill>
              <w14:schemeClr w14:val="tx1"/>
            </w14:solidFill>
          </w14:textFill>
        </w:rPr>
      </w:pPr>
      <w:bookmarkStart w:id="87" w:name="_Toc16938543"/>
      <w:bookmarkStart w:id="88" w:name="_Toc20823299"/>
      <w:bookmarkStart w:id="89" w:name="_Toc513029227"/>
      <w:r>
        <w:rPr>
          <w:rFonts w:hint="eastAsia" w:ascii="宋体" w:hAnsi="宋体" w:eastAsia="宋体"/>
          <w:color w:val="000000" w:themeColor="text1"/>
          <w:sz w:val="24"/>
          <w:szCs w:val="24"/>
          <w14:textFill>
            <w14:solidFill>
              <w14:schemeClr w14:val="tx1"/>
            </w14:solidFill>
          </w14:textFill>
        </w:rPr>
        <w:t>20、</w:t>
      </w:r>
      <w:bookmarkEnd w:id="87"/>
      <w:bookmarkEnd w:id="88"/>
      <w:bookmarkEnd w:id="89"/>
      <w:r>
        <w:rPr>
          <w:rFonts w:hint="eastAsia" w:ascii="宋体" w:hAnsi="宋体" w:eastAsia="宋体"/>
          <w:color w:val="000000" w:themeColor="text1"/>
          <w:sz w:val="24"/>
          <w:szCs w:val="24"/>
          <w14:textFill>
            <w14:solidFill>
              <w14:schemeClr w14:val="tx1"/>
            </w14:solidFill>
          </w14:textFill>
        </w:rPr>
        <w:t>逾期送达的投标文件</w:t>
      </w:r>
    </w:p>
    <w:p>
      <w:pPr>
        <w:spacing w:line="500" w:lineRule="exact"/>
        <w:ind w:firstLine="480" w:firstLineChars="200"/>
        <w:rPr>
          <w:rFonts w:asci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0</w:t>
      </w:r>
      <w:r>
        <w:rPr>
          <w:rFonts w:ascii="宋体" w:hAnsi="宋体"/>
          <w:color w:val="000000" w:themeColor="text1"/>
          <w:sz w:val="24"/>
          <w:szCs w:val="24"/>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采购人、采购代理机构拒绝接收在其规定的投标截止时间后递交的任何投标文件。</w:t>
      </w:r>
    </w:p>
    <w:p>
      <w:pPr>
        <w:pStyle w:val="7"/>
        <w:spacing w:before="0" w:after="0" w:line="500" w:lineRule="exact"/>
        <w:ind w:firstLine="482" w:firstLineChars="200"/>
        <w:rPr>
          <w:rFonts w:ascii="宋体" w:hAnsi="宋体" w:eastAsia="宋体"/>
          <w:b w:val="0"/>
          <w:bCs w:val="0"/>
          <w:color w:val="000000" w:themeColor="text1"/>
          <w:sz w:val="24"/>
          <w:szCs w:val="24"/>
          <w14:textFill>
            <w14:solidFill>
              <w14:schemeClr w14:val="tx1"/>
            </w14:solidFill>
          </w14:textFill>
        </w:rPr>
      </w:pPr>
      <w:bookmarkStart w:id="90" w:name="_Toc16938544"/>
      <w:bookmarkStart w:id="91" w:name="_Toc20823300"/>
      <w:bookmarkStart w:id="92" w:name="_Toc513029228"/>
      <w:r>
        <w:rPr>
          <w:rFonts w:ascii="宋体" w:hAnsi="宋体" w:eastAsia="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1、投标文件的修改和撤回</w:t>
      </w:r>
      <w:bookmarkEnd w:id="90"/>
      <w:bookmarkEnd w:id="91"/>
      <w:bookmarkEnd w:id="92"/>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投标人在投标截止时间前，可以对所递交的投标文件进行补充、修改或者撤回，并书面通知采购人或者采购代理机构。</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投标人补充、修改的内容应当按照招标文件要求签署、盖章、密封后，作为投标文件的组成部分。并应在封套上加注“修改”或“撤回”字样。</w:t>
      </w:r>
      <w:r>
        <w:rPr>
          <w:rFonts w:hint="eastAsia" w:ascii="宋体" w:hAnsi="宋体"/>
          <w:color w:val="000000" w:themeColor="text1"/>
          <w:sz w:val="24"/>
          <w:szCs w:val="24"/>
          <w14:textFill>
            <w14:solidFill>
              <w14:schemeClr w14:val="tx1"/>
            </w14:solidFill>
          </w14:textFill>
        </w:rPr>
        <w:t>上述补充或修改若涉及投标报价，必须注明“最后唯一报价”字样，否则将视为有选择的报价。补充、修改的文件必须在投标截止时间前送达开标地点。</w:t>
      </w:r>
    </w:p>
    <w:p>
      <w:pPr>
        <w:spacing w:line="500" w:lineRule="exact"/>
        <w:ind w:firstLine="480" w:firstLineChars="200"/>
        <w:rPr>
          <w:rFonts w:asci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.3</w:t>
      </w:r>
      <w:r>
        <w:rPr>
          <w:rFonts w:hint="eastAsia" w:ascii="宋体" w:hAnsi="宋体"/>
          <w:bCs/>
          <w:color w:val="000000" w:themeColor="text1"/>
          <w:sz w:val="24"/>
          <w:szCs w:val="24"/>
          <w14:textFill>
            <w14:solidFill>
              <w14:schemeClr w14:val="tx1"/>
            </w14:solidFill>
          </w14:textFill>
        </w:rPr>
        <w:t>在投标截止时间之后，投标人不得对其投标文件作任何补充、修改。</w:t>
      </w:r>
    </w:p>
    <w:p>
      <w:pPr>
        <w:spacing w:line="500" w:lineRule="exact"/>
        <w:ind w:firstLine="480" w:firstLineChars="200"/>
        <w:rPr>
          <w:rFonts w:asci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.4</w:t>
      </w:r>
      <w:r>
        <w:rPr>
          <w:rFonts w:hint="eastAsia" w:ascii="宋体" w:hAnsi="宋体"/>
          <w:bCs/>
          <w:color w:val="000000" w:themeColor="text1"/>
          <w:sz w:val="24"/>
          <w:szCs w:val="24"/>
          <w14:textFill>
            <w14:solidFill>
              <w14:schemeClr w14:val="tx1"/>
            </w14:solidFill>
          </w14:textFill>
        </w:rPr>
        <w:t>投标有效期内投标人撤销投标文件的，投标保证金不予退还。</w:t>
      </w:r>
    </w:p>
    <w:p>
      <w:pPr>
        <w:pStyle w:val="6"/>
        <w:spacing w:beforeLines="50" w:afterLines="50" w:line="500" w:lineRule="exact"/>
        <w:ind w:firstLine="361" w:firstLineChars="150"/>
        <w:rPr>
          <w:rFonts w:ascii="宋体"/>
          <w:color w:val="000000" w:themeColor="text1"/>
          <w:sz w:val="24"/>
          <w:szCs w:val="24"/>
          <w14:textFill>
            <w14:solidFill>
              <w14:schemeClr w14:val="tx1"/>
            </w14:solidFill>
          </w14:textFill>
        </w:rPr>
      </w:pPr>
      <w:bookmarkStart w:id="93" w:name="_Toc20823301"/>
      <w:bookmarkStart w:id="94" w:name="_Toc513029229"/>
      <w:bookmarkStart w:id="95" w:name="_Toc120614218"/>
      <w:bookmarkStart w:id="96" w:name="_Toc16938545"/>
      <w:r>
        <w:rPr>
          <w:rFonts w:hint="eastAsia" w:ascii="宋体" w:hAnsi="宋体"/>
          <w:color w:val="000000" w:themeColor="text1"/>
          <w:sz w:val="24"/>
          <w:szCs w:val="24"/>
          <w14:textFill>
            <w14:solidFill>
              <w14:schemeClr w14:val="tx1"/>
            </w14:solidFill>
          </w14:textFill>
        </w:rPr>
        <w:t>五、开标与评标</w:t>
      </w:r>
      <w:bookmarkEnd w:id="93"/>
      <w:bookmarkEnd w:id="94"/>
      <w:bookmarkEnd w:id="95"/>
      <w:bookmarkEnd w:id="96"/>
    </w:p>
    <w:p>
      <w:pPr>
        <w:pStyle w:val="7"/>
        <w:spacing w:before="0" w:after="0" w:line="500" w:lineRule="exact"/>
        <w:ind w:firstLine="482" w:firstLineChars="200"/>
        <w:rPr>
          <w:rFonts w:ascii="宋体" w:hAnsi="宋体" w:eastAsia="宋体"/>
          <w:color w:val="000000" w:themeColor="text1"/>
          <w:sz w:val="24"/>
          <w:szCs w:val="24"/>
          <w14:textFill>
            <w14:solidFill>
              <w14:schemeClr w14:val="tx1"/>
            </w14:solidFill>
          </w14:textFill>
        </w:rPr>
      </w:pPr>
      <w:bookmarkStart w:id="97" w:name="_Toc16938546"/>
      <w:bookmarkStart w:id="98" w:name="_Toc20823302"/>
      <w:bookmarkStart w:id="99" w:name="_Toc513029230"/>
      <w:r>
        <w:rPr>
          <w:rFonts w:ascii="宋体" w:hAnsi="宋体" w:eastAsia="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2、开标</w:t>
      </w:r>
      <w:bookmarkEnd w:id="97"/>
      <w:bookmarkEnd w:id="98"/>
      <w:bookmarkEnd w:id="99"/>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开标在招标文件规定的时间，地点进行</w:t>
      </w:r>
      <w:r>
        <w:rPr>
          <w:rFonts w:hint="eastAsia" w:ascii="宋体" w:hAnsi="宋体"/>
          <w:color w:val="000000" w:themeColor="text1"/>
          <w:sz w:val="24"/>
          <w:szCs w:val="24"/>
          <w14:textFill>
            <w14:solidFill>
              <w14:schemeClr w14:val="tx1"/>
            </w14:solidFill>
          </w14:textFill>
        </w:rPr>
        <w:t>。</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2</w:t>
      </w:r>
      <w:r>
        <w:rPr>
          <w:rFonts w:ascii="宋体" w:hAnsi="宋体"/>
          <w:bCs/>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开标由采购人或者采购代理机构主持，邀请投标人参加。</w:t>
      </w:r>
    </w:p>
    <w:p>
      <w:pPr>
        <w:spacing w:line="500" w:lineRule="exact"/>
        <w:ind w:firstLine="480" w:firstLineChars="200"/>
        <w:rPr>
          <w:rFonts w:asci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.3</w:t>
      </w:r>
      <w:r>
        <w:rPr>
          <w:rFonts w:hint="eastAsia" w:ascii="宋体" w:hAnsi="宋体"/>
          <w:bCs/>
          <w:color w:val="000000" w:themeColor="text1"/>
          <w:sz w:val="24"/>
          <w:szCs w:val="24"/>
          <w14:textFill>
            <w14:solidFill>
              <w14:schemeClr w14:val="tx1"/>
            </w14:solidFill>
          </w14:textFill>
        </w:rPr>
        <w:t>按照规定同意撤回的投标将不予开封。</w:t>
      </w:r>
    </w:p>
    <w:p>
      <w:pPr>
        <w:spacing w:line="500" w:lineRule="exact"/>
        <w:ind w:firstLine="480" w:firstLineChars="200"/>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2</w:t>
      </w:r>
      <w:r>
        <w:rPr>
          <w:rFonts w:ascii="宋体" w:hAnsi="宋体"/>
          <w:bCs/>
          <w:color w:val="000000" w:themeColor="text1"/>
          <w:sz w:val="24"/>
          <w:szCs w:val="24"/>
          <w14:textFill>
            <w14:solidFill>
              <w14:schemeClr w14:val="tx1"/>
            </w14:solidFill>
          </w14:textFill>
        </w:rPr>
        <w:t>.4</w:t>
      </w:r>
      <w:r>
        <w:rPr>
          <w:rFonts w:hint="eastAsia" w:ascii="宋体" w:hAnsi="宋体"/>
          <w:bCs/>
          <w:color w:val="000000" w:themeColor="text1"/>
          <w:sz w:val="24"/>
          <w:szCs w:val="24"/>
          <w14:textFill>
            <w14:solidFill>
              <w14:schemeClr w14:val="tx1"/>
            </w14:solidFill>
          </w14:textFill>
        </w:rPr>
        <w:t>投标人不足</w:t>
      </w:r>
      <w:r>
        <w:rPr>
          <w:rFonts w:ascii="宋体" w:hAnsi="宋体"/>
          <w:bCs/>
          <w:color w:val="000000" w:themeColor="text1"/>
          <w:sz w:val="24"/>
          <w:szCs w:val="24"/>
          <w14:textFill>
            <w14:solidFill>
              <w14:schemeClr w14:val="tx1"/>
            </w14:solidFill>
          </w14:textFill>
        </w:rPr>
        <w:t>3</w:t>
      </w:r>
      <w:r>
        <w:rPr>
          <w:rFonts w:hint="eastAsia" w:ascii="宋体" w:hAnsi="宋体"/>
          <w:bCs/>
          <w:color w:val="000000" w:themeColor="text1"/>
          <w:sz w:val="24"/>
          <w:szCs w:val="24"/>
          <w14:textFill>
            <w14:solidFill>
              <w14:schemeClr w14:val="tx1"/>
            </w14:solidFill>
          </w14:textFill>
        </w:rPr>
        <w:t>家的，不予开标。</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 xml:space="preserve">.5 </w:t>
      </w:r>
      <w:r>
        <w:rPr>
          <w:rFonts w:hint="eastAsia" w:ascii="宋体" w:hAnsi="宋体"/>
          <w:color w:val="000000" w:themeColor="text1"/>
          <w:sz w:val="24"/>
          <w:szCs w:val="24"/>
          <w14:textFill>
            <w14:solidFill>
              <w14:schemeClr w14:val="tx1"/>
            </w14:solidFill>
          </w14:textFill>
        </w:rPr>
        <w:t>开标时，由投标人或者其推选的代表检查投标文件的密封情况；经确认无误后，由采购人或者采购代理机构工作人员当众拆封，宣布投标人开标一览表和招标文件规定的需要宣布的其他内容。开标时未宣布的投标报价信息，不得在评标时采用。</w:t>
      </w:r>
    </w:p>
    <w:p>
      <w:pPr>
        <w:spacing w:line="500" w:lineRule="exact"/>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2</w:t>
      </w: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 xml:space="preserve">.6 </w:t>
      </w:r>
      <w:r>
        <w:rPr>
          <w:rFonts w:hint="eastAsia" w:ascii="宋体" w:hAnsi="宋体"/>
          <w:color w:val="000000" w:themeColor="text1"/>
          <w:sz w:val="24"/>
          <w:szCs w:val="24"/>
          <w14:textFill>
            <w14:solidFill>
              <w14:schemeClr w14:val="tx1"/>
            </w14:solidFill>
          </w14:textFill>
        </w:rPr>
        <w:t>采购人或者采购代理机构负责记录开标过程，由参加开标的各投标人代表和相关工作人员签字确认后随采购文件一并存档。</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 xml:space="preserve">.7 </w:t>
      </w:r>
      <w:r>
        <w:rPr>
          <w:rFonts w:hint="eastAsia" w:ascii="宋体" w:hAnsi="宋体"/>
          <w:color w:val="000000" w:themeColor="text1"/>
          <w:sz w:val="24"/>
          <w:szCs w:val="24"/>
          <w14:textFill>
            <w14:solidFill>
              <w14:schemeClr w14:val="tx1"/>
            </w14:solidFill>
          </w14:textFill>
        </w:rPr>
        <w:t>投标人在报价时不允许采用选择性报价，否则将被视为无效投标。</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投标人未参加开标的，视同认可开标结果。</w:t>
      </w:r>
    </w:p>
    <w:p>
      <w:pPr>
        <w:pStyle w:val="7"/>
        <w:spacing w:before="0" w:after="0" w:line="500" w:lineRule="exact"/>
        <w:ind w:firstLine="482" w:firstLineChars="200"/>
        <w:rPr>
          <w:rFonts w:ascii="宋体" w:hAnsi="宋体" w:eastAsia="宋体"/>
          <w:color w:val="000000" w:themeColor="text1"/>
          <w:sz w:val="24"/>
          <w:szCs w:val="24"/>
          <w14:textFill>
            <w14:solidFill>
              <w14:schemeClr w14:val="tx1"/>
            </w14:solidFill>
          </w14:textFill>
        </w:rPr>
      </w:pPr>
      <w:bookmarkStart w:id="100" w:name="_Toc16938547"/>
      <w:bookmarkStart w:id="101" w:name="_Toc513029231"/>
      <w:bookmarkStart w:id="102" w:name="_Toc20823303"/>
      <w:r>
        <w:rPr>
          <w:rFonts w:ascii="宋体" w:hAnsi="宋体" w:eastAsia="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3、评标委员会</w:t>
      </w:r>
    </w:p>
    <w:p>
      <w:pPr>
        <w:spacing w:line="500" w:lineRule="exact"/>
        <w:ind w:firstLine="465"/>
        <w:rPr>
          <w:rFonts w:ascii="宋体"/>
          <w:b/>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采购人或者采购代理机构负责组织评标工作。</w:t>
      </w:r>
    </w:p>
    <w:p>
      <w:pPr>
        <w:spacing w:line="500" w:lineRule="exact"/>
        <w:ind w:firstLine="465"/>
        <w:rPr>
          <w:rFonts w:ascii="宋体"/>
          <w:b/>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评标委员会</w:t>
      </w:r>
      <w:r>
        <w:rPr>
          <w:rFonts w:hint="eastAsia" w:ascii="宋体" w:hAnsi="宋体"/>
          <w:sz w:val="24"/>
          <w:szCs w:val="24"/>
        </w:rPr>
        <w:t>由采购人代表和有关技术、经济等方面的专家组成，且人员构成符合政府采购有关规定。</w:t>
      </w:r>
    </w:p>
    <w:p>
      <w:pPr>
        <w:spacing w:line="480" w:lineRule="exact"/>
        <w:ind w:firstLine="480" w:firstLineChars="200"/>
        <w:rPr>
          <w:rFonts w:ascii="宋体" w:hAnsi="宋体"/>
          <w:sz w:val="24"/>
          <w:szCs w:val="24"/>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评标委员会负责具体评标事务，并独立履行下列职责：</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.3.1</w:t>
      </w:r>
      <w:r>
        <w:rPr>
          <w:rFonts w:hint="eastAsia" w:ascii="宋体" w:hAnsi="宋体"/>
          <w:color w:val="000000" w:themeColor="text1"/>
          <w:sz w:val="24"/>
          <w:szCs w:val="24"/>
          <w14:textFill>
            <w14:solidFill>
              <w14:schemeClr w14:val="tx1"/>
            </w14:solidFill>
          </w14:textFill>
        </w:rPr>
        <w:t>审查、评价投标文件是否符合招标文件的商务、技术等实质性要求；</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.3.2</w:t>
      </w:r>
      <w:r>
        <w:rPr>
          <w:rFonts w:hint="eastAsia" w:ascii="宋体" w:hAnsi="宋体"/>
          <w:color w:val="000000" w:themeColor="text1"/>
          <w:sz w:val="24"/>
          <w:szCs w:val="24"/>
          <w14:textFill>
            <w14:solidFill>
              <w14:schemeClr w14:val="tx1"/>
            </w14:solidFill>
          </w14:textFill>
        </w:rPr>
        <w:t>要求投标人对投标文件有关事项作出澄清或者说明；</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.3.3</w:t>
      </w:r>
      <w:r>
        <w:rPr>
          <w:rFonts w:hint="eastAsia" w:ascii="宋体" w:hAnsi="宋体"/>
          <w:color w:val="000000" w:themeColor="text1"/>
          <w:sz w:val="24"/>
          <w:szCs w:val="24"/>
          <w14:textFill>
            <w14:solidFill>
              <w14:schemeClr w14:val="tx1"/>
            </w14:solidFill>
          </w14:textFill>
        </w:rPr>
        <w:t>对投标文件进行比较和评价；</w:t>
      </w:r>
    </w:p>
    <w:p>
      <w:pPr>
        <w:spacing w:line="50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.3.4</w:t>
      </w:r>
      <w:r>
        <w:rPr>
          <w:rFonts w:hint="eastAsia" w:ascii="宋体" w:hAnsi="宋体"/>
          <w:color w:val="000000" w:themeColor="text1"/>
          <w:sz w:val="24"/>
          <w:szCs w:val="24"/>
          <w14:textFill>
            <w14:solidFill>
              <w14:schemeClr w14:val="tx1"/>
            </w14:solidFill>
          </w14:textFill>
        </w:rPr>
        <w:t>确定中标候选人名单，以及根据采购人委托直接确定中标人；</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.3.5</w:t>
      </w:r>
      <w:r>
        <w:rPr>
          <w:rFonts w:hint="eastAsia" w:ascii="宋体" w:hAnsi="宋体"/>
          <w:color w:val="000000" w:themeColor="text1"/>
          <w:sz w:val="24"/>
          <w:szCs w:val="24"/>
          <w14:textFill>
            <w14:solidFill>
              <w14:schemeClr w14:val="tx1"/>
            </w14:solidFill>
          </w14:textFill>
        </w:rPr>
        <w:t>向采购人、采购代理机构或者有关部门报告评标中发现的违法行为。</w:t>
      </w:r>
    </w:p>
    <w:p>
      <w:pPr>
        <w:pStyle w:val="7"/>
        <w:spacing w:before="0" w:after="0" w:line="500" w:lineRule="exact"/>
        <w:ind w:firstLine="482"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4．评标过程的保密与公正</w:t>
      </w:r>
    </w:p>
    <w:bookmarkEnd w:id="100"/>
    <w:bookmarkEnd w:id="101"/>
    <w:bookmarkEnd w:id="102"/>
    <w:p>
      <w:pPr>
        <w:spacing w:line="500" w:lineRule="exact"/>
        <w:ind w:firstLine="480" w:firstLineChars="200"/>
        <w:rPr>
          <w:rFonts w:asci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采购人、采购代理机构采取必要措施，保证评标在严格保密的情况下进行。除采购人代表、评标现场组织人员外，采购人的其他工作人员以及与评标工作无关的人员不得进入评标现场。</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在评标过程中，投标人不得以任何行为影响评标过程，否则其投标文件将被作为无效投标文件。</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 xml:space="preserve">.3 </w:t>
      </w:r>
      <w:r>
        <w:rPr>
          <w:rFonts w:hint="eastAsia" w:ascii="宋体" w:hAnsi="宋体"/>
          <w:color w:val="000000" w:themeColor="text1"/>
          <w:sz w:val="24"/>
          <w:szCs w:val="24"/>
          <w14:textFill>
            <w14:solidFill>
              <w14:schemeClr w14:val="tx1"/>
            </w14:solidFill>
          </w14:textFill>
        </w:rPr>
        <w:t>有关人员对评标情况以及在评标过程中获悉的国家秘密、商业秘密负有保密责任。</w:t>
      </w:r>
    </w:p>
    <w:p>
      <w:pPr>
        <w:pStyle w:val="7"/>
        <w:spacing w:before="0" w:after="0" w:line="500" w:lineRule="exact"/>
        <w:ind w:firstLine="482" w:firstLineChars="200"/>
        <w:rPr>
          <w:rFonts w:ascii="宋体" w:hAnsi="宋体" w:eastAsia="宋体"/>
          <w:color w:val="000000" w:themeColor="text1"/>
          <w:sz w:val="24"/>
          <w:szCs w:val="24"/>
          <w14:textFill>
            <w14:solidFill>
              <w14:schemeClr w14:val="tx1"/>
            </w14:solidFill>
          </w14:textFill>
        </w:rPr>
      </w:pPr>
      <w:bookmarkStart w:id="103" w:name="_Toc20823305"/>
      <w:bookmarkStart w:id="104" w:name="_Toc513029233"/>
      <w:bookmarkStart w:id="105" w:name="_Toc16938549"/>
      <w:r>
        <w:rPr>
          <w:rFonts w:ascii="宋体" w:hAnsi="宋体" w:eastAsia="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5、对投标文件的初审</w:t>
      </w:r>
      <w:bookmarkEnd w:id="103"/>
      <w:bookmarkEnd w:id="104"/>
      <w:bookmarkEnd w:id="105"/>
    </w:p>
    <w:p>
      <w:pPr>
        <w:spacing w:line="500" w:lineRule="exact"/>
        <w:ind w:firstLine="480" w:firstLineChars="200"/>
        <w:rPr>
          <w:rFonts w:asci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投标文件初审分为资格审查和符合性审查。</w:t>
      </w:r>
    </w:p>
    <w:p>
      <w:pPr>
        <w:spacing w:line="500" w:lineRule="exact"/>
        <w:ind w:firstLine="482" w:firstLineChars="200"/>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资格审查</w:t>
      </w:r>
    </w:p>
    <w:p>
      <w:pPr>
        <w:spacing w:line="5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开标结束后，采购人或者采购代理机构依法对投标人的资格进行审查。审查投标文件中的资格、资信证明、投标保证金文件等，以确定投标人是否具备投标资格。</w:t>
      </w:r>
    </w:p>
    <w:p>
      <w:pPr>
        <w:widowControl/>
        <w:spacing w:line="376" w:lineRule="atLeast"/>
        <w:jc w:val="left"/>
        <w:textAlignment w:val="baseline"/>
        <w:rPr>
          <w:rFonts w:ascii="宋体" w:hAnsi="宋体"/>
          <w:color w:val="FF0000"/>
          <w:sz w:val="24"/>
          <w:szCs w:val="24"/>
        </w:rPr>
      </w:pPr>
      <w:r>
        <w:rPr>
          <w:rFonts w:ascii="宋体" w:hAnsi="宋体"/>
          <w:color w:val="FF0000"/>
          <w:sz w:val="24"/>
          <w:szCs w:val="24"/>
        </w:rPr>
        <w:t>合格投标人不足3家的，不得评标。</w:t>
      </w:r>
    </w:p>
    <w:p>
      <w:pPr>
        <w:spacing w:line="500" w:lineRule="exact"/>
        <w:ind w:firstLine="482" w:firstLineChars="200"/>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符合性审查</w:t>
      </w:r>
    </w:p>
    <w:p>
      <w:pPr>
        <w:spacing w:line="5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评标委员会对符合资格的投标人的投标文件进行符合性审查。</w:t>
      </w:r>
    </w:p>
    <w:p>
      <w:pPr>
        <w:spacing w:line="5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依据招标文件的规定，从投标文件的有效性、完整性和对招标文件的响应程度进行审查，以确定其是否满足招标文件的实质性要求。</w:t>
      </w:r>
    </w:p>
    <w:p>
      <w:pPr>
        <w:spacing w:line="5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明确响应的投标应该是与招标文件要求的全部条款、条件和规格相符，没有重大偏离或保留的投标。</w:t>
      </w:r>
    </w:p>
    <w:p>
      <w:pPr>
        <w:spacing w:line="5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是否属于重大偏离由评标委员会按照少数服从多数的原则作出结论。认定</w:t>
      </w:r>
      <w:r>
        <w:rPr>
          <w:rFonts w:hint="eastAsia" w:ascii="宋体" w:hAnsi="宋体"/>
          <w:bCs/>
          <w:color w:val="000000" w:themeColor="text1"/>
          <w:sz w:val="24"/>
          <w:szCs w:val="24"/>
          <w14:textFill>
            <w14:solidFill>
              <w14:schemeClr w14:val="tx1"/>
            </w14:solidFill>
          </w14:textFill>
        </w:rPr>
        <w:t>评委决定投标文件的响应性只根据投标文件本身的内容，而不寻求外部的证据。</w:t>
      </w:r>
    </w:p>
    <w:p>
      <w:pPr>
        <w:spacing w:line="500" w:lineRule="exact"/>
        <w:ind w:firstLine="480" w:firstLineChars="200"/>
        <w:rPr>
          <w:rFonts w:asci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如果投标文件没有明确响应招标文件的要求，评标委员会将按无效投标处理，投标人不得通过修改或撤销不合要求的偏离或保留而使其投标成为明确响应的投标。</w:t>
      </w:r>
    </w:p>
    <w:p>
      <w:pPr>
        <w:spacing w:line="500" w:lineRule="exact"/>
        <w:ind w:firstLine="480" w:firstLineChars="200"/>
        <w:rPr>
          <w:rFonts w:ascii="宋体" w:cs="Arial"/>
          <w:color w:val="000000" w:themeColor="text1"/>
          <w:kern w:val="0"/>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.3</w:t>
      </w:r>
      <w:r>
        <w:rPr>
          <w:rFonts w:hint="eastAsia" w:ascii="宋体" w:hAnsi="宋体"/>
          <w:bCs/>
          <w:color w:val="000000" w:themeColor="text1"/>
          <w:sz w:val="24"/>
          <w:szCs w:val="24"/>
          <w14:textFill>
            <w14:solidFill>
              <w14:schemeClr w14:val="tx1"/>
            </w14:solidFill>
          </w14:textFill>
        </w:rPr>
        <w:t>评标委员会将对确定为明确响应的投标进行进一步审核，</w:t>
      </w:r>
      <w:r>
        <w:rPr>
          <w:rFonts w:hint="eastAsia" w:ascii="宋体" w:hAnsi="宋体" w:cs="Arial"/>
          <w:color w:val="000000" w:themeColor="text1"/>
          <w:kern w:val="0"/>
          <w:sz w:val="24"/>
          <w:szCs w:val="24"/>
          <w14:textFill>
            <w14:solidFill>
              <w14:schemeClr w14:val="tx1"/>
            </w14:solidFill>
          </w14:textFill>
        </w:rPr>
        <w:t>投标文件报价出现前后不一致的，除招标文件另有规定外，按照下列规定修正：</w:t>
      </w:r>
    </w:p>
    <w:p>
      <w:pPr>
        <w:widowControl/>
        <w:spacing w:before="100" w:beforeAutospacing="1" w:after="240" w:line="500" w:lineRule="exact"/>
        <w:ind w:firstLine="480" w:firstLineChars="200"/>
        <w:contextualSpacing/>
        <w:jc w:val="left"/>
        <w:rPr>
          <w:rFonts w:ascii="宋体" w:cs="Arial"/>
          <w:color w:val="000000" w:themeColor="text1"/>
          <w:kern w:val="0"/>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5</w:t>
      </w:r>
      <w:r>
        <w:rPr>
          <w:rFonts w:ascii="宋体" w:hAnsi="宋体"/>
          <w:bCs/>
          <w:color w:val="000000" w:themeColor="text1"/>
          <w:sz w:val="24"/>
          <w:szCs w:val="24"/>
          <w14:textFill>
            <w14:solidFill>
              <w14:schemeClr w14:val="tx1"/>
            </w14:solidFill>
          </w14:textFill>
        </w:rPr>
        <w:t>.3.1</w:t>
      </w:r>
      <w:r>
        <w:rPr>
          <w:rFonts w:hint="eastAsia" w:ascii="宋体" w:hAnsi="宋体" w:cs="Arial"/>
          <w:color w:val="000000" w:themeColor="text1"/>
          <w:kern w:val="0"/>
          <w:sz w:val="24"/>
          <w:szCs w:val="24"/>
          <w14:textFill>
            <w14:solidFill>
              <w14:schemeClr w14:val="tx1"/>
            </w14:solidFill>
          </w14:textFill>
        </w:rPr>
        <w:t>投标文件中开标一览表内容与投标文件中相应内容不一致的，以开标一览表为准；</w:t>
      </w:r>
    </w:p>
    <w:p>
      <w:pPr>
        <w:widowControl/>
        <w:spacing w:before="100" w:beforeAutospacing="1" w:after="240" w:line="500" w:lineRule="exact"/>
        <w:contextualSpacing/>
        <w:jc w:val="left"/>
        <w:rPr>
          <w:rFonts w:asci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　　</w:t>
      </w:r>
      <w:r>
        <w:rPr>
          <w:rFonts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5</w:t>
      </w:r>
      <w:r>
        <w:rPr>
          <w:rFonts w:ascii="宋体" w:hAnsi="宋体"/>
          <w:bCs/>
          <w:color w:val="000000" w:themeColor="text1"/>
          <w:sz w:val="24"/>
          <w:szCs w:val="24"/>
          <w14:textFill>
            <w14:solidFill>
              <w14:schemeClr w14:val="tx1"/>
            </w14:solidFill>
          </w14:textFill>
        </w:rPr>
        <w:t>.3.2</w:t>
      </w:r>
      <w:r>
        <w:rPr>
          <w:rFonts w:hint="eastAsia" w:ascii="宋体" w:hAnsi="宋体" w:cs="Arial"/>
          <w:color w:val="000000" w:themeColor="text1"/>
          <w:kern w:val="0"/>
          <w:sz w:val="24"/>
          <w:szCs w:val="24"/>
          <w14:textFill>
            <w14:solidFill>
              <w14:schemeClr w14:val="tx1"/>
            </w14:solidFill>
          </w14:textFill>
        </w:rPr>
        <w:t>大写金额和小写金额不一致的，以大写金额为准；</w:t>
      </w:r>
    </w:p>
    <w:p>
      <w:pPr>
        <w:widowControl/>
        <w:spacing w:before="100" w:beforeAutospacing="1" w:after="240" w:line="500" w:lineRule="exact"/>
        <w:contextualSpacing/>
        <w:jc w:val="left"/>
        <w:rPr>
          <w:rFonts w:asci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　　</w:t>
      </w:r>
      <w:r>
        <w:rPr>
          <w:rFonts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5</w:t>
      </w:r>
      <w:r>
        <w:rPr>
          <w:rFonts w:ascii="宋体" w:hAnsi="宋体"/>
          <w:bCs/>
          <w:color w:val="000000" w:themeColor="text1"/>
          <w:sz w:val="24"/>
          <w:szCs w:val="24"/>
          <w14:textFill>
            <w14:solidFill>
              <w14:schemeClr w14:val="tx1"/>
            </w14:solidFill>
          </w14:textFill>
        </w:rPr>
        <w:t>.3.3</w:t>
      </w:r>
      <w:r>
        <w:rPr>
          <w:rFonts w:hint="eastAsia" w:ascii="宋体" w:hAnsi="宋体" w:cs="Arial"/>
          <w:color w:val="000000" w:themeColor="text1"/>
          <w:kern w:val="0"/>
          <w:sz w:val="24"/>
          <w:szCs w:val="24"/>
          <w14:textFill>
            <w14:solidFill>
              <w14:schemeClr w14:val="tx1"/>
            </w14:solidFill>
          </w14:textFill>
        </w:rPr>
        <w:t>单价金额小数点或者百分比有明显错位的，以开标一览表的总价为准，并修改单价；</w:t>
      </w:r>
    </w:p>
    <w:p>
      <w:pPr>
        <w:widowControl/>
        <w:spacing w:before="100" w:beforeAutospacing="1" w:after="240" w:line="500" w:lineRule="exact"/>
        <w:contextualSpacing/>
        <w:jc w:val="left"/>
        <w:rPr>
          <w:rFonts w:asci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　　</w:t>
      </w:r>
      <w:r>
        <w:rPr>
          <w:rFonts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5</w:t>
      </w:r>
      <w:r>
        <w:rPr>
          <w:rFonts w:ascii="宋体" w:hAnsi="宋体"/>
          <w:bCs/>
          <w:color w:val="000000" w:themeColor="text1"/>
          <w:sz w:val="24"/>
          <w:szCs w:val="24"/>
          <w14:textFill>
            <w14:solidFill>
              <w14:schemeClr w14:val="tx1"/>
            </w14:solidFill>
          </w14:textFill>
        </w:rPr>
        <w:t>.3.4</w:t>
      </w:r>
      <w:r>
        <w:rPr>
          <w:rFonts w:hint="eastAsia" w:ascii="宋体" w:hAnsi="宋体" w:cs="Arial"/>
          <w:color w:val="000000" w:themeColor="text1"/>
          <w:kern w:val="0"/>
          <w:sz w:val="24"/>
          <w:szCs w:val="24"/>
          <w14:textFill>
            <w14:solidFill>
              <w14:schemeClr w14:val="tx1"/>
            </w14:solidFill>
          </w14:textFill>
        </w:rPr>
        <w:t>总价金额与按单价汇总金额不一致的，以单价金额计算结果为准。</w:t>
      </w:r>
    </w:p>
    <w:p>
      <w:pPr>
        <w:spacing w:line="500" w:lineRule="exact"/>
        <w:ind w:firstLine="480" w:firstLineChars="200"/>
        <w:rPr>
          <w:rFonts w:ascii="宋体" w:cs="Arial"/>
          <w:kern w:val="0"/>
          <w:sz w:val="24"/>
          <w:szCs w:val="24"/>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.4</w:t>
      </w:r>
      <w:r>
        <w:rPr>
          <w:rFonts w:hint="eastAsia" w:ascii="宋体" w:hAnsi="宋体"/>
          <w:bCs/>
          <w:color w:val="000000" w:themeColor="text1"/>
          <w:sz w:val="24"/>
          <w:szCs w:val="24"/>
          <w14:textFill>
            <w14:solidFill>
              <w14:schemeClr w14:val="tx1"/>
            </w14:solidFill>
          </w14:textFill>
        </w:rPr>
        <w:t>评标委员会将按上述修正错误的方法调整投标文件中的投</w:t>
      </w:r>
      <w:r>
        <w:rPr>
          <w:rFonts w:hint="eastAsia" w:ascii="宋体" w:hAnsi="宋体"/>
          <w:bCs/>
          <w:sz w:val="24"/>
          <w:szCs w:val="24"/>
        </w:rPr>
        <w:t>标报价，</w:t>
      </w:r>
      <w:r>
        <w:rPr>
          <w:rFonts w:hint="eastAsia" w:ascii="宋体" w:hAnsi="宋体" w:cs="Arial"/>
          <w:kern w:val="0"/>
          <w:sz w:val="24"/>
          <w:szCs w:val="24"/>
        </w:rPr>
        <w:t>修正后的报价应当采用书面形式，并加盖公章，或者由法定代表人或其授权的代表签字，经投标人确认后产生约束力，投标人不确认的，其投标无效。</w:t>
      </w:r>
    </w:p>
    <w:p>
      <w:pPr>
        <w:spacing w:line="460" w:lineRule="exact"/>
        <w:ind w:firstLine="480" w:firstLineChars="200"/>
        <w:rPr>
          <w:rFonts w:ascii="宋体" w:hAnsi="宋体"/>
          <w:sz w:val="24"/>
        </w:rPr>
      </w:pPr>
      <w:r>
        <w:rPr>
          <w:rFonts w:ascii="宋体" w:hAnsi="宋体" w:cs="Arial"/>
          <w:color w:val="000000" w:themeColor="text1"/>
          <w:kern w:val="0"/>
          <w:sz w:val="24"/>
          <w:szCs w:val="24"/>
          <w14:textFill>
            <w14:solidFill>
              <w14:schemeClr w14:val="tx1"/>
            </w14:solidFill>
          </w14:textFill>
        </w:rPr>
        <w:t>2</w:t>
      </w:r>
      <w:r>
        <w:rPr>
          <w:rFonts w:hint="eastAsia" w:ascii="宋体" w:hAnsi="宋体" w:cs="Arial"/>
          <w:color w:val="000000" w:themeColor="text1"/>
          <w:kern w:val="0"/>
          <w:sz w:val="24"/>
          <w:szCs w:val="24"/>
          <w14:textFill>
            <w14:solidFill>
              <w14:schemeClr w14:val="tx1"/>
            </w14:solidFill>
          </w14:textFill>
        </w:rPr>
        <w:t>5</w:t>
      </w:r>
      <w:r>
        <w:rPr>
          <w:rFonts w:ascii="宋体" w:hAnsi="宋体" w:cs="Arial"/>
          <w:color w:val="000000" w:themeColor="text1"/>
          <w:kern w:val="0"/>
          <w:sz w:val="24"/>
          <w:szCs w:val="24"/>
          <w14:textFill>
            <w14:solidFill>
              <w14:schemeClr w14:val="tx1"/>
            </w14:solidFill>
          </w14:textFill>
        </w:rPr>
        <w:t>.5</w:t>
      </w:r>
      <w:r>
        <w:rPr>
          <w:rFonts w:ascii="宋体" w:hAnsi="宋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500" w:lineRule="exact"/>
        <w:ind w:firstLine="480" w:firstLineChars="200"/>
        <w:rPr>
          <w:rFonts w:ascii="宋体" w:hAnsi="宋体"/>
          <w:sz w:val="24"/>
        </w:rPr>
      </w:pPr>
      <w:r>
        <w:rPr>
          <w:rFonts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5</w:t>
      </w:r>
      <w:r>
        <w:rPr>
          <w:rFonts w:ascii="宋体" w:hAnsi="宋体"/>
          <w:bCs/>
          <w:color w:val="000000" w:themeColor="text1"/>
          <w:sz w:val="24"/>
          <w:szCs w:val="24"/>
          <w14:textFill>
            <w14:solidFill>
              <w14:schemeClr w14:val="tx1"/>
            </w14:solidFill>
          </w14:textFill>
        </w:rPr>
        <w:t>.6</w:t>
      </w:r>
      <w:r>
        <w:rPr>
          <w:rFonts w:ascii="宋体" w:hAnsi="宋体"/>
          <w:b/>
          <w:sz w:val="24"/>
        </w:rPr>
        <w:t>采用最低评标价法的采购项目</w:t>
      </w:r>
      <w:r>
        <w:rPr>
          <w:rFonts w:hint="eastAsia" w:ascii="宋体" w:hAnsi="宋体"/>
          <w:b/>
          <w:sz w:val="24"/>
        </w:rPr>
        <w:t>：</w:t>
      </w:r>
      <w:r>
        <w:rPr>
          <w:rFonts w:ascii="宋体" w:hAnsi="宋体"/>
          <w:sz w:val="24"/>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500" w:lineRule="exact"/>
        <w:ind w:firstLine="482" w:firstLineChars="200"/>
        <w:rPr>
          <w:rFonts w:asci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2</w:t>
      </w:r>
      <w:r>
        <w:rPr>
          <w:rFonts w:hint="eastAsia" w:ascii="宋体" w:hAnsi="宋体"/>
          <w:b/>
          <w:color w:val="000000" w:themeColor="text1"/>
          <w:sz w:val="24"/>
          <w:szCs w:val="24"/>
          <w14:textFill>
            <w14:solidFill>
              <w14:schemeClr w14:val="tx1"/>
            </w14:solidFill>
          </w14:textFill>
        </w:rPr>
        <w:t>6、投标的澄清</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6</w:t>
      </w:r>
      <w:r>
        <w:rPr>
          <w:rFonts w:ascii="宋体" w:hAnsi="宋体"/>
          <w:color w:val="000000" w:themeColor="text1"/>
          <w:sz w:val="24"/>
          <w:szCs w:val="24"/>
          <w14:textFill>
            <w14:solidFill>
              <w14:schemeClr w14:val="tx1"/>
            </w14:solidFill>
          </w14:textFill>
        </w:rPr>
        <w:t>.1</w:t>
      </w:r>
      <w:r>
        <w:rPr>
          <w:rFonts w:hint="eastAsia" w:ascii="宋体" w:hAnsi="宋体" w:cs="Arial"/>
          <w:color w:val="000000" w:themeColor="text1"/>
          <w:kern w:val="0"/>
          <w:sz w:val="24"/>
          <w:szCs w:val="24"/>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pPr>
        <w:spacing w:line="500" w:lineRule="exact"/>
        <w:ind w:firstLine="480" w:firstLineChars="200"/>
        <w:rPr>
          <w:rFonts w:ascii="宋体" w:cs="Arial"/>
          <w:color w:val="000000" w:themeColor="text1"/>
          <w:kern w:val="0"/>
          <w:sz w:val="24"/>
          <w:szCs w:val="24"/>
          <w14:textFill>
            <w14:solidFill>
              <w14:schemeClr w14:val="tx1"/>
            </w14:solidFill>
          </w14:textFill>
        </w:rPr>
      </w:pPr>
      <w:r>
        <w:rPr>
          <w:rFonts w:ascii="宋体" w:hAnsi="宋体" w:cs="Arial"/>
          <w:color w:val="000000" w:themeColor="text1"/>
          <w:kern w:val="0"/>
          <w:sz w:val="24"/>
          <w:szCs w:val="24"/>
          <w14:textFill>
            <w14:solidFill>
              <w14:schemeClr w14:val="tx1"/>
            </w14:solidFill>
          </w14:textFill>
        </w:rPr>
        <w:t>2</w:t>
      </w:r>
      <w:r>
        <w:rPr>
          <w:rFonts w:hint="eastAsia" w:ascii="宋体" w:hAnsi="宋体" w:cs="Arial"/>
          <w:color w:val="000000" w:themeColor="text1"/>
          <w:kern w:val="0"/>
          <w:sz w:val="24"/>
          <w:szCs w:val="24"/>
          <w14:textFill>
            <w14:solidFill>
              <w14:schemeClr w14:val="tx1"/>
            </w14:solidFill>
          </w14:textFill>
        </w:rPr>
        <w:t>6</w:t>
      </w:r>
      <w:r>
        <w:rPr>
          <w:rFonts w:ascii="宋体" w:hAnsi="宋体" w:cs="Arial"/>
          <w:color w:val="000000" w:themeColor="text1"/>
          <w:kern w:val="0"/>
          <w:sz w:val="24"/>
          <w:szCs w:val="24"/>
          <w14:textFill>
            <w14:solidFill>
              <w14:schemeClr w14:val="tx1"/>
            </w14:solidFill>
          </w14:textFill>
        </w:rPr>
        <w:t>.2</w:t>
      </w:r>
      <w:r>
        <w:rPr>
          <w:rFonts w:hint="eastAsia" w:ascii="宋体" w:hAnsi="宋体" w:cs="Arial"/>
          <w:color w:val="000000" w:themeColor="text1"/>
          <w:kern w:val="0"/>
          <w:sz w:val="24"/>
          <w:szCs w:val="24"/>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6</w:t>
      </w: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接到评标委员会澄清要求的投标人如未按规定做出澄清，其风险由投标人自行承担。</w:t>
      </w:r>
    </w:p>
    <w:p>
      <w:pPr>
        <w:pStyle w:val="7"/>
        <w:spacing w:before="0" w:after="0" w:line="500" w:lineRule="exact"/>
        <w:ind w:firstLine="482" w:firstLineChars="200"/>
        <w:rPr>
          <w:rFonts w:ascii="宋体" w:hAnsi="宋体" w:eastAsia="宋体"/>
          <w:color w:val="000000" w:themeColor="text1"/>
          <w:sz w:val="24"/>
          <w:szCs w:val="24"/>
          <w14:textFill>
            <w14:solidFill>
              <w14:schemeClr w14:val="tx1"/>
            </w14:solidFill>
          </w14:textFill>
        </w:rPr>
      </w:pPr>
      <w:bookmarkStart w:id="106" w:name="_Toc513029234"/>
      <w:bookmarkStart w:id="107" w:name="_Toc16938550"/>
      <w:bookmarkStart w:id="108" w:name="_Toc20823306"/>
      <w:r>
        <w:rPr>
          <w:rFonts w:ascii="宋体" w:hAnsi="宋体" w:eastAsia="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7、</w:t>
      </w:r>
      <w:bookmarkEnd w:id="106"/>
      <w:bookmarkEnd w:id="107"/>
      <w:bookmarkEnd w:id="108"/>
      <w:r>
        <w:rPr>
          <w:rFonts w:hint="eastAsia" w:ascii="宋体" w:hAnsi="宋体" w:eastAsia="宋体"/>
          <w:color w:val="000000" w:themeColor="text1"/>
          <w:sz w:val="24"/>
          <w:szCs w:val="24"/>
          <w14:textFill>
            <w14:solidFill>
              <w14:schemeClr w14:val="tx1"/>
            </w14:solidFill>
          </w14:textFill>
        </w:rPr>
        <w:t>无效投标条款和废标条款</w:t>
      </w:r>
    </w:p>
    <w:p>
      <w:pPr>
        <w:spacing w:line="500" w:lineRule="exact"/>
        <w:ind w:left="479" w:leftChars="228"/>
        <w:rPr>
          <w:rFonts w:ascii="宋体"/>
          <w:color w:val="000000" w:themeColor="text1"/>
          <w:sz w:val="24"/>
          <w:szCs w:val="24"/>
          <w14:textFill>
            <w14:solidFill>
              <w14:schemeClr w14:val="tx1"/>
            </w14:solidFill>
          </w14:textFill>
        </w:rPr>
      </w:pPr>
      <w:bookmarkStart w:id="109" w:name="_Toc513029235"/>
      <w:bookmarkStart w:id="110" w:name="_Toc16938551"/>
      <w:bookmarkStart w:id="111" w:name="_Toc20823307"/>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7</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无效投标条款</w:t>
      </w:r>
    </w:p>
    <w:p>
      <w:pPr>
        <w:spacing w:line="500" w:lineRule="exact"/>
        <w:ind w:firstLine="480" w:firstLineChars="200"/>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7</w:t>
      </w:r>
      <w:r>
        <w:rPr>
          <w:rFonts w:ascii="宋体" w:hAnsi="宋体"/>
          <w:bCs/>
          <w:color w:val="000000" w:themeColor="text1"/>
          <w:sz w:val="24"/>
          <w:szCs w:val="24"/>
          <w14:textFill>
            <w14:solidFill>
              <w14:schemeClr w14:val="tx1"/>
            </w14:solidFill>
          </w14:textFill>
        </w:rPr>
        <w:t>.1.1</w:t>
      </w:r>
      <w:r>
        <w:rPr>
          <w:rFonts w:hint="eastAsia" w:ascii="宋体" w:hAnsi="宋体"/>
          <w:bCs/>
          <w:color w:val="000000" w:themeColor="text1"/>
          <w:sz w:val="24"/>
          <w:szCs w:val="24"/>
          <w14:textFill>
            <w14:solidFill>
              <w14:schemeClr w14:val="tx1"/>
            </w14:solidFill>
          </w14:textFill>
        </w:rPr>
        <w:t>未按照招标文件的规定提交投标保证金的；</w:t>
      </w:r>
    </w:p>
    <w:p>
      <w:pPr>
        <w:spacing w:line="500" w:lineRule="exact"/>
        <w:ind w:firstLine="360" w:firstLineChars="150"/>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 2</w:t>
      </w:r>
      <w:r>
        <w:rPr>
          <w:rFonts w:hint="eastAsia" w:ascii="宋体" w:hAnsi="宋体"/>
          <w:bCs/>
          <w:color w:val="000000" w:themeColor="text1"/>
          <w:sz w:val="24"/>
          <w:szCs w:val="24"/>
          <w14:textFill>
            <w14:solidFill>
              <w14:schemeClr w14:val="tx1"/>
            </w14:solidFill>
          </w14:textFill>
        </w:rPr>
        <w:t>7</w:t>
      </w:r>
      <w:r>
        <w:rPr>
          <w:rFonts w:ascii="宋体" w:hAnsi="宋体"/>
          <w:bCs/>
          <w:color w:val="000000" w:themeColor="text1"/>
          <w:sz w:val="24"/>
          <w:szCs w:val="24"/>
          <w14:textFill>
            <w14:solidFill>
              <w14:schemeClr w14:val="tx1"/>
            </w14:solidFill>
          </w14:textFill>
        </w:rPr>
        <w:t>.1.2</w:t>
      </w:r>
      <w:r>
        <w:rPr>
          <w:rFonts w:hint="eastAsia" w:ascii="宋体" w:hAnsi="宋体"/>
          <w:bCs/>
          <w:color w:val="000000" w:themeColor="text1"/>
          <w:sz w:val="24"/>
          <w:szCs w:val="24"/>
          <w14:textFill>
            <w14:solidFill>
              <w14:schemeClr w14:val="tx1"/>
            </w14:solidFill>
          </w14:textFill>
        </w:rPr>
        <w:t>投标文件未按照招标文件要求签署、盖章的；</w:t>
      </w:r>
    </w:p>
    <w:p>
      <w:pPr>
        <w:spacing w:line="500" w:lineRule="exact"/>
        <w:ind w:left="479" w:leftChars="228"/>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7</w:t>
      </w:r>
      <w:r>
        <w:rPr>
          <w:rFonts w:ascii="宋体" w:hAnsi="宋体"/>
          <w:bCs/>
          <w:color w:val="000000" w:themeColor="text1"/>
          <w:sz w:val="24"/>
          <w:szCs w:val="24"/>
          <w14:textFill>
            <w14:solidFill>
              <w14:schemeClr w14:val="tx1"/>
            </w14:solidFill>
          </w14:textFill>
        </w:rPr>
        <w:t>.1.3</w:t>
      </w:r>
      <w:r>
        <w:rPr>
          <w:rFonts w:hint="eastAsia" w:ascii="宋体" w:hAnsi="宋体"/>
          <w:bCs/>
          <w:color w:val="000000" w:themeColor="text1"/>
          <w:sz w:val="24"/>
          <w:szCs w:val="24"/>
          <w14:textFill>
            <w14:solidFill>
              <w14:schemeClr w14:val="tx1"/>
            </w14:solidFill>
          </w14:textFill>
        </w:rPr>
        <w:t>不具备招标文件中规定资格要求的；</w:t>
      </w:r>
    </w:p>
    <w:p>
      <w:pPr>
        <w:spacing w:line="500" w:lineRule="exact"/>
        <w:ind w:left="479" w:leftChars="228"/>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7</w:t>
      </w:r>
      <w:r>
        <w:rPr>
          <w:rFonts w:ascii="宋体" w:hAnsi="宋体"/>
          <w:bCs/>
          <w:color w:val="000000" w:themeColor="text1"/>
          <w:sz w:val="24"/>
          <w:szCs w:val="24"/>
          <w14:textFill>
            <w14:solidFill>
              <w14:schemeClr w14:val="tx1"/>
            </w14:solidFill>
          </w14:textFill>
        </w:rPr>
        <w:t>.1.4</w:t>
      </w:r>
      <w:r>
        <w:rPr>
          <w:rFonts w:hint="eastAsia" w:ascii="宋体" w:hAnsi="宋体"/>
          <w:bCs/>
          <w:color w:val="000000" w:themeColor="text1"/>
          <w:sz w:val="24"/>
          <w:szCs w:val="24"/>
          <w14:textFill>
            <w14:solidFill>
              <w14:schemeClr w14:val="tx1"/>
            </w14:solidFill>
          </w14:textFill>
        </w:rPr>
        <w:t>投标人在报价时采用选择性报价；</w:t>
      </w:r>
    </w:p>
    <w:p>
      <w:pPr>
        <w:spacing w:line="500" w:lineRule="exact"/>
        <w:ind w:firstLine="480" w:firstLineChars="200"/>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7</w:t>
      </w:r>
      <w:r>
        <w:rPr>
          <w:rFonts w:ascii="宋体" w:hAnsi="宋体"/>
          <w:bCs/>
          <w:color w:val="000000" w:themeColor="text1"/>
          <w:sz w:val="24"/>
          <w:szCs w:val="24"/>
          <w14:textFill>
            <w14:solidFill>
              <w14:schemeClr w14:val="tx1"/>
            </w14:solidFill>
          </w14:textFill>
        </w:rPr>
        <w:t>.1.5</w:t>
      </w:r>
      <w:r>
        <w:rPr>
          <w:rFonts w:hint="eastAsia" w:ascii="宋体" w:hAnsi="宋体"/>
          <w:bCs/>
          <w:color w:val="000000" w:themeColor="text1"/>
          <w:sz w:val="24"/>
          <w:szCs w:val="24"/>
          <w14:textFill>
            <w14:solidFill>
              <w14:schemeClr w14:val="tx1"/>
            </w14:solidFill>
          </w14:textFill>
        </w:rPr>
        <w:t>投标人报价超过招标文件中规定的预算金额或者最高限价的；</w:t>
      </w:r>
    </w:p>
    <w:p>
      <w:pPr>
        <w:spacing w:line="500" w:lineRule="exact"/>
        <w:ind w:firstLine="480" w:firstLineChars="200"/>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7</w:t>
      </w:r>
      <w:r>
        <w:rPr>
          <w:rFonts w:ascii="宋体" w:hAnsi="宋体"/>
          <w:bCs/>
          <w:color w:val="000000" w:themeColor="text1"/>
          <w:sz w:val="24"/>
          <w:szCs w:val="24"/>
          <w14:textFill>
            <w14:solidFill>
              <w14:schemeClr w14:val="tx1"/>
            </w14:solidFill>
          </w14:textFill>
        </w:rPr>
        <w:t>.1.6</w:t>
      </w:r>
      <w:r>
        <w:rPr>
          <w:rFonts w:hint="eastAsia" w:ascii="宋体" w:hAnsi="宋体"/>
          <w:bCs/>
          <w:color w:val="000000" w:themeColor="text1"/>
          <w:sz w:val="24"/>
          <w:szCs w:val="24"/>
          <w14:textFill>
            <w14:solidFill>
              <w14:schemeClr w14:val="tx1"/>
            </w14:solidFill>
          </w14:textFill>
        </w:rPr>
        <w:t>未通过符合性审查的；</w:t>
      </w:r>
    </w:p>
    <w:p>
      <w:pPr>
        <w:spacing w:line="500" w:lineRule="exact"/>
        <w:ind w:firstLine="480" w:firstLineChars="200"/>
        <w:rPr>
          <w:rFonts w:ascii="宋体"/>
          <w:bCs/>
          <w:i/>
          <w:color w:val="000000" w:themeColor="text1"/>
          <w:sz w:val="24"/>
          <w:szCs w:val="24"/>
          <w:u w:val="single"/>
          <w14:textFill>
            <w14:solidFill>
              <w14:schemeClr w14:val="tx1"/>
            </w14:solidFill>
          </w14:textFill>
        </w:rPr>
      </w:pPr>
      <w:r>
        <w:rPr>
          <w:rFonts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7</w:t>
      </w:r>
      <w:r>
        <w:rPr>
          <w:rFonts w:ascii="宋体" w:hAnsi="宋体"/>
          <w:bCs/>
          <w:color w:val="000000" w:themeColor="text1"/>
          <w:sz w:val="24"/>
          <w:szCs w:val="24"/>
          <w14:textFill>
            <w14:solidFill>
              <w14:schemeClr w14:val="tx1"/>
            </w14:solidFill>
          </w14:textFill>
        </w:rPr>
        <w:t>.1.7</w:t>
      </w:r>
      <w:r>
        <w:rPr>
          <w:rFonts w:hint="eastAsia" w:ascii="宋体" w:hAnsi="宋体"/>
          <w:bCs/>
          <w:color w:val="000000" w:themeColor="text1"/>
          <w:sz w:val="24"/>
          <w:szCs w:val="24"/>
          <w14:textFill>
            <w14:solidFill>
              <w14:schemeClr w14:val="tx1"/>
            </w14:solidFill>
          </w14:textFill>
        </w:rPr>
        <w:t>投标文件含有采购人不能接受的附加条件的；</w:t>
      </w:r>
    </w:p>
    <w:p>
      <w:pPr>
        <w:spacing w:line="500" w:lineRule="exact"/>
        <w:ind w:firstLine="360" w:firstLineChars="150"/>
        <w:rPr>
          <w:rFonts w:ascii="宋体"/>
          <w:b/>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 2</w:t>
      </w:r>
      <w:r>
        <w:rPr>
          <w:rFonts w:hint="eastAsia" w:ascii="宋体" w:hAnsi="宋体"/>
          <w:bCs/>
          <w:color w:val="000000" w:themeColor="text1"/>
          <w:sz w:val="24"/>
          <w:szCs w:val="24"/>
          <w14:textFill>
            <w14:solidFill>
              <w14:schemeClr w14:val="tx1"/>
            </w14:solidFill>
          </w14:textFill>
        </w:rPr>
        <w:t>7</w:t>
      </w:r>
      <w:r>
        <w:rPr>
          <w:rFonts w:ascii="宋体" w:hAnsi="宋体"/>
          <w:bCs/>
          <w:color w:val="000000" w:themeColor="text1"/>
          <w:sz w:val="24"/>
          <w:szCs w:val="24"/>
          <w14:textFill>
            <w14:solidFill>
              <w14:schemeClr w14:val="tx1"/>
            </w14:solidFill>
          </w14:textFill>
        </w:rPr>
        <w:t>.1.8</w:t>
      </w:r>
      <w:r>
        <w:rPr>
          <w:rFonts w:hint="eastAsia" w:ascii="宋体" w:hAnsi="宋体"/>
          <w:bCs/>
          <w:color w:val="000000" w:themeColor="text1"/>
          <w:sz w:val="24"/>
          <w:szCs w:val="24"/>
          <w14:textFill>
            <w14:solidFill>
              <w14:schemeClr w14:val="tx1"/>
            </w14:solidFill>
          </w14:textFill>
        </w:rPr>
        <w:t>不符合招标文件中规定的其他实质性要求和条件的；</w:t>
      </w:r>
    </w:p>
    <w:p>
      <w:pPr>
        <w:spacing w:line="500" w:lineRule="exact"/>
        <w:ind w:firstLine="480" w:firstLineChars="200"/>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7</w:t>
      </w:r>
      <w:r>
        <w:rPr>
          <w:rFonts w:ascii="宋体" w:hAnsi="宋体"/>
          <w:bCs/>
          <w:color w:val="000000" w:themeColor="text1"/>
          <w:sz w:val="24"/>
          <w:szCs w:val="24"/>
          <w14:textFill>
            <w14:solidFill>
              <w14:schemeClr w14:val="tx1"/>
            </w14:solidFill>
          </w14:textFill>
        </w:rPr>
        <w:t>.1.9</w:t>
      </w:r>
      <w:r>
        <w:rPr>
          <w:rFonts w:hint="eastAsia" w:ascii="宋体" w:hAnsi="宋体"/>
          <w:bCs/>
          <w:color w:val="000000" w:themeColor="text1"/>
          <w:sz w:val="24"/>
          <w:szCs w:val="24"/>
          <w14:textFill>
            <w14:solidFill>
              <w14:schemeClr w14:val="tx1"/>
            </w14:solidFill>
          </w14:textFill>
        </w:rPr>
        <w:t>其他法律、法规及本招标文件规定的属无效投标的情形。</w:t>
      </w:r>
    </w:p>
    <w:p>
      <w:pPr>
        <w:spacing w:line="500" w:lineRule="exact"/>
        <w:ind w:left="479" w:leftChars="228"/>
        <w:rPr>
          <w:rFonts w:asci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7</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废标条款</w:t>
      </w:r>
    </w:p>
    <w:p>
      <w:pPr>
        <w:spacing w:line="500" w:lineRule="exact"/>
        <w:ind w:left="479" w:leftChars="228"/>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7</w:t>
      </w:r>
      <w:r>
        <w:rPr>
          <w:rFonts w:ascii="宋体" w:hAnsi="宋体"/>
          <w:bCs/>
          <w:color w:val="000000" w:themeColor="text1"/>
          <w:sz w:val="24"/>
          <w:szCs w:val="24"/>
          <w14:textFill>
            <w14:solidFill>
              <w14:schemeClr w14:val="tx1"/>
            </w14:solidFill>
          </w14:textFill>
        </w:rPr>
        <w:t>.2.1</w:t>
      </w:r>
      <w:r>
        <w:rPr>
          <w:rFonts w:hint="eastAsia" w:ascii="宋体" w:hAnsi="宋体"/>
          <w:bCs/>
          <w:color w:val="000000" w:themeColor="text1"/>
          <w:sz w:val="24"/>
          <w:szCs w:val="24"/>
          <w14:textFill>
            <w14:solidFill>
              <w14:schemeClr w14:val="tx1"/>
            </w14:solidFill>
          </w14:textFill>
        </w:rPr>
        <w:t>符合专业条件的投标人或者对招标文件作实质性响应的投标人不足三家的；</w:t>
      </w:r>
    </w:p>
    <w:p>
      <w:pPr>
        <w:spacing w:line="500" w:lineRule="exact"/>
        <w:ind w:left="479" w:leftChars="228"/>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7</w:t>
      </w:r>
      <w:r>
        <w:rPr>
          <w:rFonts w:ascii="宋体" w:hAnsi="宋体"/>
          <w:bCs/>
          <w:color w:val="000000" w:themeColor="text1"/>
          <w:sz w:val="24"/>
          <w:szCs w:val="24"/>
          <w14:textFill>
            <w14:solidFill>
              <w14:schemeClr w14:val="tx1"/>
            </w14:solidFill>
          </w14:textFill>
        </w:rPr>
        <w:t>.2.2</w:t>
      </w:r>
      <w:r>
        <w:rPr>
          <w:rFonts w:hint="eastAsia" w:ascii="宋体" w:hAnsi="宋体"/>
          <w:bCs/>
          <w:color w:val="000000" w:themeColor="text1"/>
          <w:sz w:val="24"/>
          <w:szCs w:val="24"/>
          <w14:textFill>
            <w14:solidFill>
              <w14:schemeClr w14:val="tx1"/>
            </w14:solidFill>
          </w14:textFill>
        </w:rPr>
        <w:t>出现影响采购公正的违法、违规行为的；</w:t>
      </w:r>
    </w:p>
    <w:p>
      <w:pPr>
        <w:spacing w:line="500" w:lineRule="exact"/>
        <w:ind w:left="479" w:leftChars="228"/>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7</w:t>
      </w:r>
      <w:r>
        <w:rPr>
          <w:rFonts w:ascii="宋体" w:hAnsi="宋体"/>
          <w:bCs/>
          <w:color w:val="000000" w:themeColor="text1"/>
          <w:sz w:val="24"/>
          <w:szCs w:val="24"/>
          <w14:textFill>
            <w14:solidFill>
              <w14:schemeClr w14:val="tx1"/>
            </w14:solidFill>
          </w14:textFill>
        </w:rPr>
        <w:t>.2.3</w:t>
      </w:r>
      <w:r>
        <w:rPr>
          <w:rFonts w:hint="eastAsia" w:ascii="宋体" w:hAnsi="宋体"/>
          <w:bCs/>
          <w:color w:val="000000" w:themeColor="text1"/>
          <w:sz w:val="24"/>
          <w:szCs w:val="24"/>
          <w14:textFill>
            <w14:solidFill>
              <w14:schemeClr w14:val="tx1"/>
            </w14:solidFill>
          </w14:textFill>
        </w:rPr>
        <w:t>因重大变故，采购任务取消的；</w:t>
      </w:r>
    </w:p>
    <w:p>
      <w:pPr>
        <w:spacing w:line="500" w:lineRule="exact"/>
        <w:ind w:left="479" w:leftChars="228"/>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7</w:t>
      </w:r>
      <w:r>
        <w:rPr>
          <w:rFonts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4投标人的报价均超过了采购预算或最高限价，采购人不能支付的；</w:t>
      </w:r>
    </w:p>
    <w:p>
      <w:pPr>
        <w:spacing w:line="500" w:lineRule="exact"/>
        <w:ind w:firstLine="480" w:firstLineChars="200"/>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7</w:t>
      </w:r>
      <w:r>
        <w:rPr>
          <w:rFonts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5评标委员会发现招标文件存在歧义、重大缺陷导致评审工作无法进行，或者招标文件内容违反国家有关强制性规定的；</w:t>
      </w:r>
    </w:p>
    <w:p>
      <w:pPr>
        <w:widowControl/>
        <w:spacing w:before="100" w:beforeAutospacing="1" w:after="240" w:line="500" w:lineRule="exact"/>
        <w:ind w:firstLine="482" w:firstLineChars="200"/>
        <w:contextualSpacing/>
        <w:jc w:val="left"/>
        <w:rPr>
          <w:rFonts w:ascii="宋体" w:cs="Arial"/>
          <w:b/>
          <w:bCs/>
          <w:color w:val="FF0000"/>
          <w:kern w:val="0"/>
          <w:sz w:val="24"/>
          <w:szCs w:val="24"/>
        </w:rPr>
      </w:pPr>
      <w:r>
        <w:rPr>
          <w:rFonts w:ascii="宋体" w:hAnsi="宋体"/>
          <w:b/>
          <w:bCs/>
          <w:color w:val="FF0000"/>
          <w:sz w:val="24"/>
          <w:szCs w:val="24"/>
        </w:rPr>
        <w:t>2</w:t>
      </w:r>
      <w:r>
        <w:rPr>
          <w:rFonts w:hint="eastAsia" w:ascii="宋体" w:hAnsi="宋体"/>
          <w:b/>
          <w:bCs/>
          <w:color w:val="FF0000"/>
          <w:sz w:val="24"/>
          <w:szCs w:val="24"/>
        </w:rPr>
        <w:t>7</w:t>
      </w:r>
      <w:r>
        <w:rPr>
          <w:rFonts w:ascii="宋体" w:hAnsi="宋体"/>
          <w:b/>
          <w:bCs/>
          <w:color w:val="FF0000"/>
          <w:sz w:val="24"/>
          <w:szCs w:val="24"/>
        </w:rPr>
        <w:t>.3</w:t>
      </w:r>
      <w:r>
        <w:rPr>
          <w:rFonts w:hint="eastAsia" w:ascii="宋体" w:hAnsi="宋体" w:cs="Arial"/>
          <w:b/>
          <w:bCs/>
          <w:color w:val="FF0000"/>
          <w:kern w:val="0"/>
          <w:sz w:val="24"/>
          <w:szCs w:val="24"/>
        </w:rPr>
        <w:t>投标截止后投标人不足</w:t>
      </w:r>
      <w:r>
        <w:rPr>
          <w:rFonts w:ascii="宋体" w:hAnsi="宋体" w:cs="Arial"/>
          <w:b/>
          <w:bCs/>
          <w:color w:val="FF0000"/>
          <w:kern w:val="0"/>
          <w:sz w:val="24"/>
          <w:szCs w:val="24"/>
        </w:rPr>
        <w:t>3</w:t>
      </w:r>
      <w:r>
        <w:rPr>
          <w:rFonts w:hint="eastAsia" w:ascii="宋体" w:hAnsi="宋体" w:cs="Arial"/>
          <w:b/>
          <w:bCs/>
          <w:color w:val="FF0000"/>
          <w:kern w:val="0"/>
          <w:sz w:val="24"/>
          <w:szCs w:val="24"/>
        </w:rPr>
        <w:t>家或者通过资格审查、符合性审查的投标人不足</w:t>
      </w:r>
      <w:r>
        <w:rPr>
          <w:rFonts w:ascii="宋体" w:hAnsi="宋体" w:cs="Arial"/>
          <w:b/>
          <w:bCs/>
          <w:color w:val="FF0000"/>
          <w:kern w:val="0"/>
          <w:sz w:val="24"/>
          <w:szCs w:val="24"/>
        </w:rPr>
        <w:t>3</w:t>
      </w:r>
      <w:r>
        <w:rPr>
          <w:rFonts w:hint="eastAsia" w:ascii="宋体" w:hAnsi="宋体" w:cs="Arial"/>
          <w:b/>
          <w:bCs/>
          <w:color w:val="FF0000"/>
          <w:kern w:val="0"/>
          <w:sz w:val="24"/>
          <w:szCs w:val="24"/>
        </w:rPr>
        <w:t>家的，除采购任务取消情形外，按照以下方式处理：</w:t>
      </w:r>
    </w:p>
    <w:p>
      <w:pPr>
        <w:widowControl/>
        <w:spacing w:before="100" w:beforeAutospacing="1" w:after="240" w:line="500" w:lineRule="exact"/>
        <w:contextualSpacing/>
        <w:jc w:val="left"/>
        <w:rPr>
          <w:rFonts w:ascii="宋体" w:hAnsi="宋体"/>
          <w:bCs/>
          <w:color w:val="000000" w:themeColor="text1"/>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　</w:t>
      </w:r>
      <w:r>
        <w:rPr>
          <w:rFonts w:hint="eastAsia" w:ascii="宋体" w:hAnsi="宋体"/>
          <w:bCs/>
          <w:color w:val="000000" w:themeColor="text1"/>
          <w:sz w:val="24"/>
          <w:szCs w:val="24"/>
          <w14:textFill>
            <w14:solidFill>
              <w14:schemeClr w14:val="tx1"/>
            </w14:solidFill>
          </w14:textFill>
        </w:rPr>
        <w:t>　</w:t>
      </w:r>
      <w:r>
        <w:rPr>
          <w:rFonts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7</w:t>
      </w:r>
      <w:r>
        <w:rPr>
          <w:rFonts w:ascii="宋体" w:hAnsi="宋体"/>
          <w:bCs/>
          <w:color w:val="000000" w:themeColor="text1"/>
          <w:sz w:val="24"/>
          <w:szCs w:val="24"/>
          <w14:textFill>
            <w14:solidFill>
              <w14:schemeClr w14:val="tx1"/>
            </w14:solidFill>
          </w14:textFill>
        </w:rPr>
        <w:t>.3.1</w:t>
      </w:r>
      <w:r>
        <w:rPr>
          <w:rFonts w:hint="eastAsia" w:ascii="宋体" w:hAnsi="宋体"/>
          <w:bCs/>
          <w:color w:val="000000" w:themeColor="text1"/>
          <w:sz w:val="24"/>
          <w:szCs w:val="24"/>
          <w14:textFill>
            <w14:solidFill>
              <w14:schemeClr w14:val="tx1"/>
            </w14:solidFill>
          </w14:textFill>
        </w:rPr>
        <w:t>招标文件存在不合理条款或者招标程序不符合规定的，采购人、采购代理机构改正后依法重新招标；</w:t>
      </w:r>
    </w:p>
    <w:p>
      <w:pPr>
        <w:pStyle w:val="6"/>
        <w:spacing w:beforeLines="50" w:afterLines="50" w:line="500" w:lineRule="exact"/>
        <w:ind w:firstLine="361" w:firstLineChars="150"/>
        <w:rPr>
          <w:rFonts w:ascii="宋体"/>
          <w:color w:val="000000" w:themeColor="text1"/>
          <w:sz w:val="24"/>
          <w:szCs w:val="24"/>
          <w14:textFill>
            <w14:solidFill>
              <w14:schemeClr w14:val="tx1"/>
            </w14:solidFill>
          </w14:textFill>
        </w:rPr>
      </w:pPr>
      <w:bookmarkStart w:id="112" w:name="_Toc120614219"/>
      <w:r>
        <w:rPr>
          <w:rFonts w:hint="eastAsia" w:ascii="宋体" w:hAnsi="宋体"/>
          <w:color w:val="000000" w:themeColor="text1"/>
          <w:sz w:val="24"/>
          <w:szCs w:val="24"/>
          <w14:textFill>
            <w14:solidFill>
              <w14:schemeClr w14:val="tx1"/>
            </w14:solidFill>
          </w14:textFill>
        </w:rPr>
        <w:t>六、</w:t>
      </w:r>
      <w:bookmarkEnd w:id="109"/>
      <w:bookmarkEnd w:id="110"/>
      <w:bookmarkEnd w:id="111"/>
      <w:r>
        <w:rPr>
          <w:rFonts w:hint="eastAsia" w:ascii="宋体" w:hAnsi="宋体"/>
          <w:color w:val="000000" w:themeColor="text1"/>
          <w:sz w:val="24"/>
          <w:szCs w:val="24"/>
          <w14:textFill>
            <w14:solidFill>
              <w14:schemeClr w14:val="tx1"/>
            </w14:solidFill>
          </w14:textFill>
        </w:rPr>
        <w:t>定标</w:t>
      </w:r>
      <w:bookmarkEnd w:id="112"/>
    </w:p>
    <w:p>
      <w:pPr>
        <w:pStyle w:val="7"/>
        <w:spacing w:before="0" w:after="0" w:line="500" w:lineRule="exact"/>
        <w:ind w:firstLine="482" w:firstLineChars="200"/>
        <w:rPr>
          <w:rFonts w:ascii="宋体" w:hAnsi="宋体" w:eastAsia="宋体" w:cs="Times New Roman"/>
          <w:bCs w:val="0"/>
          <w:color w:val="000000" w:themeColor="text1"/>
          <w:sz w:val="24"/>
          <w:szCs w:val="24"/>
          <w14:textFill>
            <w14:solidFill>
              <w14:schemeClr w14:val="tx1"/>
            </w14:solidFill>
          </w14:textFill>
        </w:rPr>
      </w:pPr>
      <w:bookmarkStart w:id="113" w:name="_Toc513029238"/>
      <w:bookmarkStart w:id="114" w:name="_Toc16938554"/>
      <w:bookmarkStart w:id="115" w:name="_Toc20823310"/>
      <w:r>
        <w:rPr>
          <w:rFonts w:hint="eastAsia" w:ascii="宋体" w:hAnsi="宋体" w:eastAsia="宋体" w:cs="Times New Roman"/>
          <w:bCs w:val="0"/>
          <w:color w:val="000000" w:themeColor="text1"/>
          <w:sz w:val="24"/>
          <w:szCs w:val="24"/>
          <w14:textFill>
            <w14:solidFill>
              <w14:schemeClr w14:val="tx1"/>
            </w14:solidFill>
          </w14:textFill>
        </w:rPr>
        <w:t>29、</w:t>
      </w:r>
      <w:bookmarkEnd w:id="113"/>
      <w:r>
        <w:rPr>
          <w:rFonts w:hint="eastAsia" w:ascii="宋体" w:hAnsi="宋体" w:eastAsia="宋体" w:cs="Times New Roman"/>
          <w:bCs w:val="0"/>
          <w:color w:val="000000" w:themeColor="text1"/>
          <w:sz w:val="24"/>
          <w:szCs w:val="24"/>
          <w14:textFill>
            <w14:solidFill>
              <w14:schemeClr w14:val="tx1"/>
            </w14:solidFill>
          </w14:textFill>
        </w:rPr>
        <w:t>确定</w:t>
      </w:r>
      <w:bookmarkEnd w:id="114"/>
      <w:bookmarkEnd w:id="115"/>
      <w:r>
        <w:rPr>
          <w:rFonts w:hint="eastAsia" w:ascii="宋体" w:hAnsi="宋体" w:eastAsia="宋体" w:cs="Times New Roman"/>
          <w:bCs w:val="0"/>
          <w:color w:val="000000" w:themeColor="text1"/>
          <w:sz w:val="24"/>
          <w:szCs w:val="24"/>
          <w14:textFill>
            <w14:solidFill>
              <w14:schemeClr w14:val="tx1"/>
            </w14:solidFill>
          </w14:textFill>
        </w:rPr>
        <w:t>中标人</w:t>
      </w:r>
    </w:p>
    <w:p>
      <w:pPr>
        <w:spacing w:line="500" w:lineRule="exact"/>
        <w:ind w:firstLine="480" w:firstLineChars="200"/>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30.1</w:t>
      </w:r>
      <w:r>
        <w:rPr>
          <w:rFonts w:hint="eastAsia" w:ascii="宋体" w:hAnsi="宋体"/>
          <w:bCs/>
          <w:color w:val="000000" w:themeColor="text1"/>
          <w:sz w:val="24"/>
          <w:szCs w:val="24"/>
          <w14:textFill>
            <w14:solidFill>
              <w14:schemeClr w14:val="tx1"/>
            </w14:solidFill>
          </w14:textFill>
        </w:rPr>
        <w:t>评标委员会根据本招标文件规定评标方法与评标标准确定中标候选人名单。</w:t>
      </w:r>
    </w:p>
    <w:p>
      <w:pPr>
        <w:widowControl/>
        <w:spacing w:before="100" w:beforeAutospacing="1" w:after="240" w:line="500" w:lineRule="exact"/>
        <w:ind w:firstLine="480" w:firstLineChars="200"/>
        <w:contextualSpacing/>
        <w:jc w:val="left"/>
        <w:rPr>
          <w:rFonts w:ascii="宋体" w:cs="Arial"/>
          <w:color w:val="000000" w:themeColor="text1"/>
          <w:kern w:val="0"/>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29</w:t>
      </w:r>
      <w:r>
        <w:rPr>
          <w:rFonts w:ascii="宋体" w:hAnsi="宋体"/>
          <w:bCs/>
          <w:color w:val="000000" w:themeColor="text1"/>
          <w:sz w:val="24"/>
          <w:szCs w:val="24"/>
          <w14:textFill>
            <w14:solidFill>
              <w14:schemeClr w14:val="tx1"/>
            </w14:solidFill>
          </w14:textFill>
        </w:rPr>
        <w:t>.2</w:t>
      </w:r>
      <w:r>
        <w:rPr>
          <w:rFonts w:hint="eastAsia" w:ascii="宋体" w:hAnsi="宋体" w:cs="Arial"/>
          <w:color w:val="000000" w:themeColor="text1"/>
          <w:kern w:val="0"/>
          <w:sz w:val="24"/>
          <w:szCs w:val="24"/>
          <w14:textFill>
            <w14:solidFill>
              <w14:schemeClr w14:val="tx1"/>
            </w14:solidFill>
          </w14:textFill>
        </w:rPr>
        <w:t>采购人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5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29</w:t>
      </w:r>
      <w:r>
        <w:rPr>
          <w:rFonts w:ascii="宋体" w:hAnsi="宋体"/>
          <w:bCs/>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中标人有下列情形之一的，</w:t>
      </w:r>
      <w:r>
        <w:rPr>
          <w:rFonts w:hint="eastAsia" w:ascii="宋体" w:hAnsi="宋体"/>
          <w:sz w:val="24"/>
          <w:szCs w:val="24"/>
        </w:rPr>
        <w:t>一经查实，将被取消中标资格</w:t>
      </w:r>
      <w:r>
        <w:rPr>
          <w:rFonts w:hint="eastAsia" w:ascii="宋体" w:hAnsi="宋体"/>
          <w:color w:val="000000" w:themeColor="text1"/>
          <w:sz w:val="24"/>
          <w:szCs w:val="24"/>
          <w14:textFill>
            <w14:solidFill>
              <w14:schemeClr w14:val="tx1"/>
            </w14:solidFill>
          </w14:textFill>
        </w:rPr>
        <w:t>并列入不良行为记录，在</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至</w:t>
      </w: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年内禁止参加盐龙街道相关采购活动：</w:t>
      </w:r>
    </w:p>
    <w:p>
      <w:pPr>
        <w:snapToGrid w:val="0"/>
        <w:spacing w:line="5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29</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提供虚假材料谋取中标的；</w:t>
      </w:r>
    </w:p>
    <w:p>
      <w:pPr>
        <w:snapToGrid w:val="0"/>
        <w:spacing w:line="5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29</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向采购人、采购代理机构行贿或者提供其他不正当利益的；</w:t>
      </w:r>
    </w:p>
    <w:p>
      <w:pPr>
        <w:snapToGrid w:val="0"/>
        <w:spacing w:line="5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29</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在招标采购过程中与采购人进行协商谈判的；</w:t>
      </w:r>
    </w:p>
    <w:p>
      <w:pPr>
        <w:snapToGrid w:val="0"/>
        <w:spacing w:line="5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29</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属于本文件规定的无效条件，但在评标过程中又未被评标委员会发现的；</w:t>
      </w:r>
    </w:p>
    <w:p>
      <w:pPr>
        <w:snapToGrid w:val="0"/>
        <w:spacing w:line="5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29</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与采购人、其他投标人或者采购代理机构恶意串通的；</w:t>
      </w:r>
    </w:p>
    <w:p>
      <w:pPr>
        <w:snapToGrid w:val="0"/>
        <w:spacing w:line="5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29</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采取不正当手段诋毁、排挤其他投标人的；</w:t>
      </w:r>
    </w:p>
    <w:p>
      <w:pPr>
        <w:snapToGrid w:val="0"/>
        <w:spacing w:line="5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29</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不符合法律、法规的规定的。</w:t>
      </w:r>
      <w:bookmarkStart w:id="116" w:name="_Toc200451960"/>
    </w:p>
    <w:p>
      <w:pPr>
        <w:snapToGrid w:val="0"/>
        <w:spacing w:line="500" w:lineRule="exact"/>
        <w:ind w:firstLine="480" w:firstLineChars="200"/>
        <w:rPr>
          <w:rFonts w:asci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29</w:t>
      </w:r>
      <w:r>
        <w:rPr>
          <w:rFonts w:ascii="宋体" w:hAnsi="宋体" w:cs="Arial"/>
          <w:color w:val="000000" w:themeColor="text1"/>
          <w:kern w:val="0"/>
          <w:sz w:val="24"/>
          <w:szCs w:val="24"/>
          <w14:textFill>
            <w14:solidFill>
              <w14:schemeClr w14:val="tx1"/>
            </w14:solidFill>
          </w14:textFill>
        </w:rPr>
        <w:t>.</w:t>
      </w:r>
      <w:r>
        <w:rPr>
          <w:rFonts w:hint="eastAsia" w:ascii="宋体" w:hAnsi="宋体" w:cs="Arial"/>
          <w:color w:val="000000" w:themeColor="text1"/>
          <w:kern w:val="0"/>
          <w:sz w:val="24"/>
          <w:szCs w:val="24"/>
          <w14:textFill>
            <w14:solidFill>
              <w14:schemeClr w14:val="tx1"/>
            </w14:solidFill>
          </w14:textFill>
        </w:rPr>
        <w:t>4有下列情形之一的，视为投标人串通投标，其投标无效：</w:t>
      </w:r>
    </w:p>
    <w:p>
      <w:pPr>
        <w:widowControl/>
        <w:spacing w:before="100" w:beforeAutospacing="1" w:after="240" w:line="500" w:lineRule="exact"/>
        <w:ind w:firstLine="480" w:firstLineChars="200"/>
        <w:contextualSpacing/>
        <w:jc w:val="left"/>
        <w:rPr>
          <w:rFonts w:asci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29</w:t>
      </w:r>
      <w:r>
        <w:rPr>
          <w:rFonts w:ascii="宋体" w:hAnsi="宋体" w:cs="Arial"/>
          <w:color w:val="000000" w:themeColor="text1"/>
          <w:kern w:val="0"/>
          <w:sz w:val="24"/>
          <w:szCs w:val="24"/>
          <w14:textFill>
            <w14:solidFill>
              <w14:schemeClr w14:val="tx1"/>
            </w14:solidFill>
          </w14:textFill>
        </w:rPr>
        <w:t>.</w:t>
      </w:r>
      <w:r>
        <w:rPr>
          <w:rFonts w:hint="eastAsia" w:ascii="宋体" w:hAnsi="宋体" w:cs="Arial"/>
          <w:color w:val="000000" w:themeColor="text1"/>
          <w:kern w:val="0"/>
          <w:sz w:val="24"/>
          <w:szCs w:val="24"/>
          <w14:textFill>
            <w14:solidFill>
              <w14:schemeClr w14:val="tx1"/>
            </w14:solidFill>
          </w14:textFill>
        </w:rPr>
        <w:t>4</w:t>
      </w:r>
      <w:r>
        <w:rPr>
          <w:rFonts w:ascii="宋体" w:hAnsi="宋体" w:cs="Arial"/>
          <w:color w:val="000000" w:themeColor="text1"/>
          <w:kern w:val="0"/>
          <w:sz w:val="24"/>
          <w:szCs w:val="24"/>
          <w14:textFill>
            <w14:solidFill>
              <w14:schemeClr w14:val="tx1"/>
            </w14:solidFill>
          </w14:textFill>
        </w:rPr>
        <w:t>.1</w:t>
      </w:r>
      <w:r>
        <w:rPr>
          <w:rFonts w:hint="eastAsia" w:ascii="宋体" w:hAnsi="宋体" w:cs="Arial"/>
          <w:color w:val="000000" w:themeColor="text1"/>
          <w:kern w:val="0"/>
          <w:sz w:val="24"/>
          <w:szCs w:val="24"/>
          <w14:textFill>
            <w14:solidFill>
              <w14:schemeClr w14:val="tx1"/>
            </w14:solidFill>
          </w14:textFill>
        </w:rPr>
        <w:t>不同投标人的投标文件由同一单位或者个人编制；</w:t>
      </w:r>
    </w:p>
    <w:p>
      <w:pPr>
        <w:widowControl/>
        <w:spacing w:before="100" w:beforeAutospacing="1" w:after="240" w:line="500" w:lineRule="exact"/>
        <w:contextualSpacing/>
        <w:jc w:val="left"/>
        <w:rPr>
          <w:rFonts w:asci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　　29</w:t>
      </w:r>
      <w:r>
        <w:rPr>
          <w:rFonts w:ascii="宋体" w:hAnsi="宋体" w:cs="Arial"/>
          <w:color w:val="000000" w:themeColor="text1"/>
          <w:kern w:val="0"/>
          <w:sz w:val="24"/>
          <w:szCs w:val="24"/>
          <w14:textFill>
            <w14:solidFill>
              <w14:schemeClr w14:val="tx1"/>
            </w14:solidFill>
          </w14:textFill>
        </w:rPr>
        <w:t>.</w:t>
      </w:r>
      <w:r>
        <w:rPr>
          <w:rFonts w:hint="eastAsia" w:ascii="宋体" w:hAnsi="宋体" w:cs="Arial"/>
          <w:color w:val="000000" w:themeColor="text1"/>
          <w:kern w:val="0"/>
          <w:sz w:val="24"/>
          <w:szCs w:val="24"/>
          <w14:textFill>
            <w14:solidFill>
              <w14:schemeClr w14:val="tx1"/>
            </w14:solidFill>
          </w14:textFill>
        </w:rPr>
        <w:t>4</w:t>
      </w:r>
      <w:r>
        <w:rPr>
          <w:rFonts w:ascii="宋体" w:hAnsi="宋体" w:cs="Arial"/>
          <w:color w:val="000000" w:themeColor="text1"/>
          <w:kern w:val="0"/>
          <w:sz w:val="24"/>
          <w:szCs w:val="24"/>
          <w14:textFill>
            <w14:solidFill>
              <w14:schemeClr w14:val="tx1"/>
            </w14:solidFill>
          </w14:textFill>
        </w:rPr>
        <w:t>.2</w:t>
      </w:r>
      <w:r>
        <w:rPr>
          <w:rFonts w:hint="eastAsia" w:ascii="宋体" w:hAnsi="宋体" w:cs="Arial"/>
          <w:color w:val="000000" w:themeColor="text1"/>
          <w:kern w:val="0"/>
          <w:sz w:val="24"/>
          <w:szCs w:val="24"/>
          <w14:textFill>
            <w14:solidFill>
              <w14:schemeClr w14:val="tx1"/>
            </w14:solidFill>
          </w14:textFill>
        </w:rPr>
        <w:t>不同投标人委托同一单位或者个人办理投标事宜；</w:t>
      </w:r>
    </w:p>
    <w:p>
      <w:pPr>
        <w:widowControl/>
        <w:spacing w:before="100" w:beforeAutospacing="1" w:after="240" w:line="500" w:lineRule="exact"/>
        <w:contextualSpacing/>
        <w:jc w:val="left"/>
        <w:rPr>
          <w:rFonts w:asci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　　29</w:t>
      </w:r>
      <w:r>
        <w:rPr>
          <w:rFonts w:ascii="宋体" w:hAnsi="宋体" w:cs="Arial"/>
          <w:color w:val="000000" w:themeColor="text1"/>
          <w:kern w:val="0"/>
          <w:sz w:val="24"/>
          <w:szCs w:val="24"/>
          <w14:textFill>
            <w14:solidFill>
              <w14:schemeClr w14:val="tx1"/>
            </w14:solidFill>
          </w14:textFill>
        </w:rPr>
        <w:t>.</w:t>
      </w:r>
      <w:r>
        <w:rPr>
          <w:rFonts w:hint="eastAsia" w:ascii="宋体" w:hAnsi="宋体" w:cs="Arial"/>
          <w:color w:val="000000" w:themeColor="text1"/>
          <w:kern w:val="0"/>
          <w:sz w:val="24"/>
          <w:szCs w:val="24"/>
          <w14:textFill>
            <w14:solidFill>
              <w14:schemeClr w14:val="tx1"/>
            </w14:solidFill>
          </w14:textFill>
        </w:rPr>
        <w:t>4</w:t>
      </w:r>
      <w:r>
        <w:rPr>
          <w:rFonts w:ascii="宋体" w:hAnsi="宋体" w:cs="Arial"/>
          <w:color w:val="000000" w:themeColor="text1"/>
          <w:kern w:val="0"/>
          <w:sz w:val="24"/>
          <w:szCs w:val="24"/>
          <w14:textFill>
            <w14:solidFill>
              <w14:schemeClr w14:val="tx1"/>
            </w14:solidFill>
          </w14:textFill>
        </w:rPr>
        <w:t>.3</w:t>
      </w:r>
      <w:r>
        <w:rPr>
          <w:rFonts w:hint="eastAsia" w:ascii="宋体" w:hAnsi="宋体" w:cs="Arial"/>
          <w:color w:val="000000" w:themeColor="text1"/>
          <w:kern w:val="0"/>
          <w:sz w:val="24"/>
          <w:szCs w:val="24"/>
          <w14:textFill>
            <w14:solidFill>
              <w14:schemeClr w14:val="tx1"/>
            </w14:solidFill>
          </w14:textFill>
        </w:rPr>
        <w:t>不同投标人的投标文件载明的项目管理成员或者联系人员为同一人；</w:t>
      </w:r>
    </w:p>
    <w:p>
      <w:pPr>
        <w:widowControl/>
        <w:spacing w:before="100" w:beforeAutospacing="1" w:after="240" w:line="500" w:lineRule="exact"/>
        <w:contextualSpacing/>
        <w:jc w:val="left"/>
        <w:rPr>
          <w:rFonts w:asci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　　29</w:t>
      </w:r>
      <w:r>
        <w:rPr>
          <w:rFonts w:ascii="宋体" w:hAnsi="宋体" w:cs="Arial"/>
          <w:color w:val="000000" w:themeColor="text1"/>
          <w:kern w:val="0"/>
          <w:sz w:val="24"/>
          <w:szCs w:val="24"/>
          <w14:textFill>
            <w14:solidFill>
              <w14:schemeClr w14:val="tx1"/>
            </w14:solidFill>
          </w14:textFill>
        </w:rPr>
        <w:t>.</w:t>
      </w:r>
      <w:r>
        <w:rPr>
          <w:rFonts w:hint="eastAsia" w:ascii="宋体" w:hAnsi="宋体" w:cs="Arial"/>
          <w:color w:val="000000" w:themeColor="text1"/>
          <w:kern w:val="0"/>
          <w:sz w:val="24"/>
          <w:szCs w:val="24"/>
          <w14:textFill>
            <w14:solidFill>
              <w14:schemeClr w14:val="tx1"/>
            </w14:solidFill>
          </w14:textFill>
        </w:rPr>
        <w:t>4</w:t>
      </w:r>
      <w:r>
        <w:rPr>
          <w:rFonts w:ascii="宋体" w:hAnsi="宋体" w:cs="Arial"/>
          <w:color w:val="000000" w:themeColor="text1"/>
          <w:kern w:val="0"/>
          <w:sz w:val="24"/>
          <w:szCs w:val="24"/>
          <w14:textFill>
            <w14:solidFill>
              <w14:schemeClr w14:val="tx1"/>
            </w14:solidFill>
          </w14:textFill>
        </w:rPr>
        <w:t>.4</w:t>
      </w:r>
      <w:r>
        <w:rPr>
          <w:rFonts w:hint="eastAsia" w:ascii="宋体" w:hAnsi="宋体" w:cs="Arial"/>
          <w:color w:val="000000" w:themeColor="text1"/>
          <w:kern w:val="0"/>
          <w:sz w:val="24"/>
          <w:szCs w:val="24"/>
          <w14:textFill>
            <w14:solidFill>
              <w14:schemeClr w14:val="tx1"/>
            </w14:solidFill>
          </w14:textFill>
        </w:rPr>
        <w:t>不同投标人的投标文件异常一致或者投标报价呈规律性差异；</w:t>
      </w:r>
    </w:p>
    <w:p>
      <w:pPr>
        <w:widowControl/>
        <w:spacing w:before="100" w:beforeAutospacing="1" w:after="240" w:line="500" w:lineRule="exact"/>
        <w:contextualSpacing/>
        <w:jc w:val="left"/>
        <w:rPr>
          <w:rFonts w:asci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　　29</w:t>
      </w:r>
      <w:r>
        <w:rPr>
          <w:rFonts w:ascii="宋体" w:hAnsi="宋体" w:cs="Arial"/>
          <w:color w:val="000000" w:themeColor="text1"/>
          <w:kern w:val="0"/>
          <w:sz w:val="24"/>
          <w:szCs w:val="24"/>
          <w14:textFill>
            <w14:solidFill>
              <w14:schemeClr w14:val="tx1"/>
            </w14:solidFill>
          </w14:textFill>
        </w:rPr>
        <w:t>.</w:t>
      </w:r>
      <w:r>
        <w:rPr>
          <w:rFonts w:hint="eastAsia" w:ascii="宋体" w:hAnsi="宋体" w:cs="Arial"/>
          <w:color w:val="000000" w:themeColor="text1"/>
          <w:kern w:val="0"/>
          <w:sz w:val="24"/>
          <w:szCs w:val="24"/>
          <w14:textFill>
            <w14:solidFill>
              <w14:schemeClr w14:val="tx1"/>
            </w14:solidFill>
          </w14:textFill>
        </w:rPr>
        <w:t>4</w:t>
      </w:r>
      <w:r>
        <w:rPr>
          <w:rFonts w:ascii="宋体" w:hAnsi="宋体" w:cs="Arial"/>
          <w:color w:val="000000" w:themeColor="text1"/>
          <w:kern w:val="0"/>
          <w:sz w:val="24"/>
          <w:szCs w:val="24"/>
          <w14:textFill>
            <w14:solidFill>
              <w14:schemeClr w14:val="tx1"/>
            </w14:solidFill>
          </w14:textFill>
        </w:rPr>
        <w:t>.5</w:t>
      </w:r>
      <w:r>
        <w:rPr>
          <w:rFonts w:hint="eastAsia" w:ascii="宋体" w:hAnsi="宋体" w:cs="Arial"/>
          <w:color w:val="000000" w:themeColor="text1"/>
          <w:kern w:val="0"/>
          <w:sz w:val="24"/>
          <w:szCs w:val="24"/>
          <w14:textFill>
            <w14:solidFill>
              <w14:schemeClr w14:val="tx1"/>
            </w14:solidFill>
          </w14:textFill>
        </w:rPr>
        <w:t>不同投标人的投标文件相互混装；</w:t>
      </w:r>
    </w:p>
    <w:p>
      <w:pPr>
        <w:widowControl/>
        <w:spacing w:before="100" w:beforeAutospacing="1" w:after="240" w:line="500" w:lineRule="exact"/>
        <w:contextualSpacing/>
        <w:jc w:val="left"/>
        <w:rPr>
          <w:rFonts w:asci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　　29</w:t>
      </w:r>
      <w:r>
        <w:rPr>
          <w:rFonts w:ascii="宋体" w:hAnsi="宋体" w:cs="Arial"/>
          <w:color w:val="000000" w:themeColor="text1"/>
          <w:kern w:val="0"/>
          <w:sz w:val="24"/>
          <w:szCs w:val="24"/>
          <w14:textFill>
            <w14:solidFill>
              <w14:schemeClr w14:val="tx1"/>
            </w14:solidFill>
          </w14:textFill>
        </w:rPr>
        <w:t>.</w:t>
      </w:r>
      <w:r>
        <w:rPr>
          <w:rFonts w:hint="eastAsia" w:ascii="宋体" w:hAnsi="宋体" w:cs="Arial"/>
          <w:color w:val="000000" w:themeColor="text1"/>
          <w:kern w:val="0"/>
          <w:sz w:val="24"/>
          <w:szCs w:val="24"/>
          <w14:textFill>
            <w14:solidFill>
              <w14:schemeClr w14:val="tx1"/>
            </w14:solidFill>
          </w14:textFill>
        </w:rPr>
        <w:t>4</w:t>
      </w:r>
      <w:r>
        <w:rPr>
          <w:rFonts w:ascii="宋体" w:hAnsi="宋体" w:cs="Arial"/>
          <w:color w:val="000000" w:themeColor="text1"/>
          <w:kern w:val="0"/>
          <w:sz w:val="24"/>
          <w:szCs w:val="24"/>
          <w14:textFill>
            <w14:solidFill>
              <w14:schemeClr w14:val="tx1"/>
            </w14:solidFill>
          </w14:textFill>
        </w:rPr>
        <w:t>.6</w:t>
      </w:r>
      <w:r>
        <w:rPr>
          <w:rFonts w:hint="eastAsia" w:ascii="宋体" w:hAnsi="宋体" w:cs="Arial"/>
          <w:color w:val="000000" w:themeColor="text1"/>
          <w:kern w:val="0"/>
          <w:sz w:val="24"/>
          <w:szCs w:val="24"/>
          <w14:textFill>
            <w14:solidFill>
              <w14:schemeClr w14:val="tx1"/>
            </w14:solidFill>
          </w14:textFill>
        </w:rPr>
        <w:t>不同投标人的投标保证金从同一单位或者个人的账户转出。</w:t>
      </w:r>
    </w:p>
    <w:p>
      <w:pPr>
        <w:snapToGrid w:val="0"/>
        <w:spacing w:line="5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29</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有下列情形之一的，属于恶意串通：</w:t>
      </w:r>
    </w:p>
    <w:p>
      <w:pPr>
        <w:snapToGrid w:val="0"/>
        <w:spacing w:line="5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29</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投标人直接或者间接从采购人或者采购代理机构处获得其他投标人的相关情况并修改其投标文件；</w:t>
      </w:r>
    </w:p>
    <w:p>
      <w:pPr>
        <w:snapToGrid w:val="0"/>
        <w:spacing w:line="5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29</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投标人按照采购人或者采购代理机构的授意撤换、修改投标文件；</w:t>
      </w:r>
    </w:p>
    <w:p>
      <w:pPr>
        <w:snapToGrid w:val="0"/>
        <w:spacing w:line="5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29</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投标人之间协商报价、技术方案等投标文件的实质性内容；</w:t>
      </w:r>
    </w:p>
    <w:p>
      <w:pPr>
        <w:snapToGrid w:val="0"/>
        <w:spacing w:line="5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29</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属于同一集团、协会、商会等组织成员的投标人按照该组织要求协同参加政府采购活动；</w:t>
      </w:r>
    </w:p>
    <w:p>
      <w:pPr>
        <w:snapToGrid w:val="0"/>
        <w:spacing w:line="5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29</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投标人之间事先约定由某一特定投标人中标；</w:t>
      </w:r>
    </w:p>
    <w:p>
      <w:pPr>
        <w:snapToGrid w:val="0"/>
        <w:spacing w:line="500" w:lineRule="exact"/>
        <w:ind w:firstLine="480" w:firstLineChars="200"/>
        <w:rPr>
          <w:rFonts w:ascii="宋体" w:cs="宋体"/>
          <w:color w:val="000000" w:themeColor="text1"/>
          <w:kern w:val="0"/>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29</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投标人之间商定部分投标人放弃参加政府采购活动或者放弃中标；</w:t>
      </w:r>
    </w:p>
    <w:p>
      <w:pPr>
        <w:snapToGrid w:val="0"/>
        <w:spacing w:line="5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29</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投标人与采购人或者采购代理机构之间、投标人相互之间，为谋求特定投标人中标或者排斥其他投标人的其他串通行为。</w:t>
      </w:r>
    </w:p>
    <w:bookmarkEnd w:id="116"/>
    <w:p>
      <w:pPr>
        <w:pStyle w:val="7"/>
        <w:spacing w:before="0" w:after="0" w:line="500" w:lineRule="exact"/>
        <w:ind w:firstLine="482" w:firstLineChars="200"/>
        <w:rPr>
          <w:rFonts w:ascii="宋体" w:hAnsi="宋体" w:eastAsia="宋体" w:cs="Times New Roman"/>
          <w:b w:val="0"/>
          <w:color w:val="000000" w:themeColor="text1"/>
          <w:sz w:val="24"/>
          <w:szCs w:val="24"/>
          <w14:textFill>
            <w14:solidFill>
              <w14:schemeClr w14:val="tx1"/>
            </w14:solidFill>
          </w14:textFill>
        </w:rPr>
      </w:pPr>
      <w:r>
        <w:rPr>
          <w:rFonts w:ascii="宋体" w:hAnsi="宋体" w:eastAsia="宋体" w:cs="Times New Roman"/>
          <w:bCs w:val="0"/>
          <w:color w:val="000000" w:themeColor="text1"/>
          <w:sz w:val="24"/>
          <w:szCs w:val="24"/>
          <w14:textFill>
            <w14:solidFill>
              <w14:schemeClr w14:val="tx1"/>
            </w14:solidFill>
          </w14:textFill>
        </w:rPr>
        <w:t>3</w:t>
      </w:r>
      <w:r>
        <w:rPr>
          <w:rFonts w:hint="eastAsia" w:ascii="宋体" w:hAnsi="宋体" w:eastAsia="宋体" w:cs="Times New Roman"/>
          <w:bCs w:val="0"/>
          <w:color w:val="000000" w:themeColor="text1"/>
          <w:sz w:val="24"/>
          <w:szCs w:val="24"/>
          <w14:textFill>
            <w14:solidFill>
              <w14:schemeClr w14:val="tx1"/>
            </w14:solidFill>
          </w14:textFill>
        </w:rPr>
        <w:t>0、中标通知书</w:t>
      </w:r>
    </w:p>
    <w:p>
      <w:pPr>
        <w:snapToGrid w:val="0"/>
        <w:spacing w:line="50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0</w:t>
      </w:r>
      <w:r>
        <w:rPr>
          <w:rFonts w:ascii="宋体" w:hAnsi="宋体"/>
          <w:color w:val="000000" w:themeColor="text1"/>
          <w:sz w:val="24"/>
          <w:szCs w:val="24"/>
          <w14:textFill>
            <w14:solidFill>
              <w14:schemeClr w14:val="tx1"/>
            </w14:solidFill>
          </w14:textFill>
        </w:rPr>
        <w:t>.l</w:t>
      </w:r>
      <w:r>
        <w:rPr>
          <w:rFonts w:hint="eastAsia" w:ascii="宋体" w:hAnsi="宋体"/>
          <w:color w:val="000000" w:themeColor="text1"/>
          <w:sz w:val="24"/>
          <w:szCs w:val="24"/>
          <w14:textFill>
            <w14:solidFill>
              <w14:schemeClr w14:val="tx1"/>
            </w14:solidFill>
          </w14:textFill>
        </w:rPr>
        <w:t>中标结果确定后，采购人向中标人发出中标通知书。</w:t>
      </w:r>
    </w:p>
    <w:p>
      <w:pPr>
        <w:snapToGrid w:val="0"/>
        <w:spacing w:line="50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0</w:t>
      </w:r>
      <w:r>
        <w:rPr>
          <w:rFonts w:ascii="宋体" w:hAnsi="宋体"/>
          <w:color w:val="000000" w:themeColor="text1"/>
          <w:sz w:val="24"/>
          <w:szCs w:val="24"/>
          <w14:textFill>
            <w14:solidFill>
              <w14:schemeClr w14:val="tx1"/>
            </w14:solidFill>
          </w14:textFill>
        </w:rPr>
        <w:t xml:space="preserve">.2 </w:t>
      </w:r>
      <w:r>
        <w:rPr>
          <w:rFonts w:hint="eastAsia" w:ascii="宋体" w:hAnsi="宋体"/>
          <w:color w:val="000000" w:themeColor="text1"/>
          <w:sz w:val="24"/>
          <w:szCs w:val="24"/>
          <w14:textFill>
            <w14:solidFill>
              <w14:schemeClr w14:val="tx1"/>
            </w14:solidFill>
          </w14:textFill>
        </w:rPr>
        <w:t>中标人收到中标通知书后，应签字确认中标通知书已收到。若无回复，则公告后视同中标人已经知悉并同意接受。</w:t>
      </w:r>
    </w:p>
    <w:p>
      <w:pPr>
        <w:snapToGrid w:val="0"/>
        <w:spacing w:line="50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0</w:t>
      </w: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中标通知书将是合同的一个组成部分。中标通知书对采购人和中标人均具有法律效力。中标通知书发出后，采购人改变中标结果的，或者中标人放弃中标项目的，应当依法承担法律责任。</w:t>
      </w:r>
    </w:p>
    <w:p>
      <w:pPr>
        <w:pStyle w:val="6"/>
        <w:spacing w:beforeLines="50" w:afterLines="50" w:line="500" w:lineRule="exact"/>
        <w:ind w:firstLine="241" w:firstLineChars="100"/>
        <w:rPr>
          <w:rFonts w:ascii="宋体" w:hAnsi="宋体"/>
          <w:bCs w:val="0"/>
          <w:color w:val="000000" w:themeColor="text1"/>
          <w:sz w:val="24"/>
          <w:szCs w:val="24"/>
          <w14:textFill>
            <w14:solidFill>
              <w14:schemeClr w14:val="tx1"/>
            </w14:solidFill>
          </w14:textFill>
        </w:rPr>
      </w:pPr>
      <w:bookmarkStart w:id="117" w:name="_Toc120614220"/>
      <w:bookmarkStart w:id="118" w:name="_Toc16938552"/>
      <w:bookmarkStart w:id="119" w:name="_Toc20823308"/>
      <w:bookmarkStart w:id="120" w:name="_Toc513029236"/>
      <w:r>
        <w:rPr>
          <w:rFonts w:hint="eastAsia" w:ascii="宋体" w:hAnsi="宋体"/>
          <w:bCs w:val="0"/>
          <w:color w:val="000000" w:themeColor="text1"/>
          <w:sz w:val="24"/>
          <w:szCs w:val="24"/>
          <w14:textFill>
            <w14:solidFill>
              <w14:schemeClr w14:val="tx1"/>
            </w14:solidFill>
          </w14:textFill>
        </w:rPr>
        <w:t>七、合同</w:t>
      </w:r>
      <w:bookmarkEnd w:id="117"/>
      <w:r>
        <w:rPr>
          <w:rFonts w:hint="eastAsia" w:ascii="宋体" w:hAnsi="宋体"/>
          <w:bCs w:val="0"/>
          <w:color w:val="000000" w:themeColor="text1"/>
          <w:sz w:val="24"/>
          <w:szCs w:val="24"/>
          <w14:textFill>
            <w14:solidFill>
              <w14:schemeClr w14:val="tx1"/>
            </w14:solidFill>
          </w14:textFill>
        </w:rPr>
        <w:t>签订相关事项</w:t>
      </w:r>
    </w:p>
    <w:bookmarkEnd w:id="118"/>
    <w:bookmarkEnd w:id="119"/>
    <w:bookmarkEnd w:id="120"/>
    <w:p>
      <w:pPr>
        <w:snapToGrid w:val="0"/>
        <w:spacing w:line="500" w:lineRule="exact"/>
        <w:ind w:firstLine="482" w:firstLineChars="200"/>
        <w:rPr>
          <w:rFonts w:ascii="宋体"/>
          <w:b/>
          <w:bCs/>
          <w:color w:val="000000" w:themeColor="text1"/>
          <w:sz w:val="24"/>
          <w:szCs w:val="24"/>
          <w14:textFill>
            <w14:solidFill>
              <w14:schemeClr w14:val="tx1"/>
            </w14:solidFill>
          </w14:textFill>
        </w:rPr>
      </w:pPr>
      <w:bookmarkStart w:id="121" w:name="_Toc16938553"/>
      <w:bookmarkStart w:id="122" w:name="_Toc513029237"/>
      <w:bookmarkStart w:id="123" w:name="_Toc20823309"/>
      <w:r>
        <w:rPr>
          <w:rFonts w:ascii="宋体" w:hAnsi="宋体"/>
          <w:b/>
          <w:bCs/>
          <w:color w:val="000000" w:themeColor="text1"/>
          <w:sz w:val="24"/>
          <w:szCs w:val="24"/>
          <w14:textFill>
            <w14:solidFill>
              <w14:schemeClr w14:val="tx1"/>
            </w14:solidFill>
          </w14:textFill>
        </w:rPr>
        <w:t>3</w:t>
      </w:r>
      <w:r>
        <w:rPr>
          <w:rFonts w:hint="eastAsia" w:ascii="宋体" w:hAnsi="宋体"/>
          <w:b/>
          <w:bCs/>
          <w:color w:val="000000" w:themeColor="text1"/>
          <w:sz w:val="24"/>
          <w:szCs w:val="24"/>
          <w14:textFill>
            <w14:solidFill>
              <w14:schemeClr w14:val="tx1"/>
            </w14:solidFill>
          </w14:textFill>
        </w:rPr>
        <w:t>1、签订合同</w:t>
      </w:r>
    </w:p>
    <w:p>
      <w:pPr>
        <w:snapToGrid w:val="0"/>
        <w:spacing w:line="500" w:lineRule="exact"/>
        <w:ind w:firstLine="480" w:firstLineChars="200"/>
        <w:rPr>
          <w:rFonts w:ascii="宋体" w:cs="Arial"/>
          <w:color w:val="000000" w:themeColor="text1"/>
          <w:kern w:val="0"/>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.l</w:t>
      </w:r>
      <w:r>
        <w:rPr>
          <w:rFonts w:hint="eastAsia" w:ascii="宋体" w:hAnsi="宋体"/>
          <w:color w:val="000000" w:themeColor="text1"/>
          <w:sz w:val="24"/>
          <w:szCs w:val="24"/>
          <w14:textFill>
            <w14:solidFill>
              <w14:schemeClr w14:val="tx1"/>
            </w14:solidFill>
          </w14:textFill>
        </w:rPr>
        <w:t>采购人与中标人应当自中标通知书发出之日起</w:t>
      </w:r>
      <w:r>
        <w:rPr>
          <w:rFonts w:ascii="宋体" w:hAnsi="宋体"/>
          <w:color w:val="000000" w:themeColor="text1"/>
          <w:sz w:val="24"/>
          <w:szCs w:val="24"/>
          <w14:textFill>
            <w14:solidFill>
              <w14:schemeClr w14:val="tx1"/>
            </w14:solidFill>
          </w14:textFill>
        </w:rPr>
        <w:t>30</w:t>
      </w:r>
      <w:r>
        <w:rPr>
          <w:rFonts w:hint="eastAsia" w:ascii="宋体" w:hAnsi="宋体"/>
          <w:color w:val="000000" w:themeColor="text1"/>
          <w:sz w:val="24"/>
          <w:szCs w:val="24"/>
          <w14:textFill>
            <w14:solidFill>
              <w14:schemeClr w14:val="tx1"/>
            </w14:solidFill>
          </w14:textFill>
        </w:rPr>
        <w:t>日内，按照招标文件和中标人投标文件的规定，签订书</w:t>
      </w:r>
      <w:r>
        <w:rPr>
          <w:rFonts w:hint="eastAsia" w:ascii="宋体" w:hAnsi="宋体" w:cs="Arial"/>
          <w:color w:val="000000" w:themeColor="text1"/>
          <w:kern w:val="0"/>
          <w:sz w:val="24"/>
          <w:szCs w:val="24"/>
          <w14:textFill>
            <w14:solidFill>
              <w14:schemeClr w14:val="tx1"/>
            </w14:solidFill>
          </w14:textFill>
        </w:rPr>
        <w:t>面合同。所签订的合同不得对招标文件确定的事项和中标人投标文件作实质性修改。</w:t>
      </w:r>
    </w:p>
    <w:p>
      <w:pPr>
        <w:snapToGrid w:val="0"/>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招标文件、中标人的投标文件及招标过程中有关澄清、承诺文件均应作为合同附件。</w:t>
      </w:r>
    </w:p>
    <w:p>
      <w:pPr>
        <w:snapToGrid w:val="0"/>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 xml:space="preserve">.3 </w:t>
      </w:r>
      <w:r>
        <w:rPr>
          <w:rFonts w:hint="eastAsia" w:ascii="宋体" w:hAnsi="宋体"/>
          <w:color w:val="000000" w:themeColor="text1"/>
          <w:sz w:val="24"/>
          <w:szCs w:val="24"/>
          <w14:textFill>
            <w14:solidFill>
              <w14:schemeClr w14:val="tx1"/>
            </w14:solidFill>
          </w14:textFill>
        </w:rPr>
        <w:t>签订合同后，</w:t>
      </w:r>
      <w:r>
        <w:rPr>
          <w:rFonts w:hint="eastAsia" w:ascii="宋体" w:hAnsi="宋体"/>
          <w:b/>
          <w:color w:val="000000" w:themeColor="text1"/>
          <w:sz w:val="24"/>
          <w:szCs w:val="24"/>
          <w:u w:val="single"/>
          <w14:textFill>
            <w14:solidFill>
              <w14:schemeClr w14:val="tx1"/>
            </w14:solidFill>
          </w14:textFill>
        </w:rPr>
        <w:t>中标人不得将货物及其他相关服务进行转包</w:t>
      </w:r>
      <w:r>
        <w:rPr>
          <w:rFonts w:hint="eastAsia" w:ascii="宋体" w:hAnsi="宋体"/>
          <w:color w:val="000000" w:themeColor="text1"/>
          <w:sz w:val="24"/>
          <w:szCs w:val="24"/>
          <w14:textFill>
            <w14:solidFill>
              <w14:schemeClr w14:val="tx1"/>
            </w14:solidFill>
          </w14:textFill>
        </w:rPr>
        <w:t>。未经采购人同意，中标人也不得采用分包的方式履行合同，否则采购人有权终止合同，中标人的履约保证金将不予退还。私自转包或分包造成采购人损失的，中标人应承担相应赔偿责任。</w:t>
      </w:r>
    </w:p>
    <w:p>
      <w:pPr>
        <w:pStyle w:val="7"/>
        <w:spacing w:before="0" w:after="0" w:line="500" w:lineRule="exact"/>
        <w:ind w:firstLine="482" w:firstLineChars="200"/>
        <w:rPr>
          <w:rFonts w:ascii="宋体" w:hAnsi="宋体" w:eastAsia="宋体" w:cs="Times New Roman"/>
          <w:bCs w:val="0"/>
          <w:color w:val="000000" w:themeColor="text1"/>
          <w:sz w:val="24"/>
          <w:szCs w:val="24"/>
          <w14:textFill>
            <w14:solidFill>
              <w14:schemeClr w14:val="tx1"/>
            </w14:solidFill>
          </w14:textFill>
        </w:rPr>
      </w:pPr>
      <w:r>
        <w:rPr>
          <w:rFonts w:ascii="宋体" w:hAnsi="宋体" w:eastAsia="宋体" w:cs="Times New Roman"/>
          <w:bCs w:val="0"/>
          <w:color w:val="000000" w:themeColor="text1"/>
          <w:sz w:val="24"/>
          <w:szCs w:val="24"/>
          <w14:textFill>
            <w14:solidFill>
              <w14:schemeClr w14:val="tx1"/>
            </w14:solidFill>
          </w14:textFill>
        </w:rPr>
        <w:t>3</w:t>
      </w:r>
      <w:r>
        <w:rPr>
          <w:rFonts w:hint="eastAsia" w:ascii="宋体" w:hAnsi="宋体" w:eastAsia="宋体" w:cs="Times New Roman"/>
          <w:bCs w:val="0"/>
          <w:color w:val="000000" w:themeColor="text1"/>
          <w:sz w:val="24"/>
          <w:szCs w:val="24"/>
          <w14:textFill>
            <w14:solidFill>
              <w14:schemeClr w14:val="tx1"/>
            </w14:solidFill>
          </w14:textFill>
        </w:rPr>
        <w:t>2、货物和服务的追加、减少和添购。</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政府采购合同履行中，采购人需追加与合同标的相同的货物或服务的，在不改变合同其他条款的前提下，可以与中标人协商签订补充合同，但所有补充合同的采购金额不超过原合同金额</w:t>
      </w:r>
      <w:r>
        <w:rPr>
          <w:rFonts w:ascii="宋体" w:hAnsi="宋体"/>
          <w:color w:val="000000" w:themeColor="text1"/>
          <w:sz w:val="24"/>
          <w:szCs w:val="24"/>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w:t>
      </w:r>
    </w:p>
    <w:p>
      <w:pPr>
        <w:spacing w:line="500" w:lineRule="exact"/>
        <w:ind w:firstLine="480" w:firstLineChars="200"/>
        <w:rPr>
          <w:rFonts w:ascii="宋体"/>
          <w:b/>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采购结束后，采购人若由于各种客观原因，必须对采购项目所牵涉的货物和服务进行适当的减少时，在双方协商一致的前提下，可以按照招标采购时的价格水平做相应的调减，并据此签订补充合同。</w:t>
      </w:r>
    </w:p>
    <w:bookmarkEnd w:id="121"/>
    <w:bookmarkEnd w:id="122"/>
    <w:bookmarkEnd w:id="123"/>
    <w:p>
      <w:pPr>
        <w:tabs>
          <w:tab w:val="left" w:pos="900"/>
        </w:tabs>
        <w:spacing w:afterLines="50" w:line="500" w:lineRule="exact"/>
        <w:ind w:firstLine="479" w:firstLineChars="199"/>
        <w:rPr>
          <w:rFonts w:asci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3</w:t>
      </w:r>
      <w:r>
        <w:rPr>
          <w:rFonts w:hint="eastAsia" w:ascii="宋体" w:hAnsi="宋体"/>
          <w:b/>
          <w:color w:val="000000" w:themeColor="text1"/>
          <w:sz w:val="24"/>
          <w:szCs w:val="24"/>
          <w14:textFill>
            <w14:solidFill>
              <w14:schemeClr w14:val="tx1"/>
            </w14:solidFill>
          </w14:textFill>
        </w:rPr>
        <w:t>3、履约保证金</w:t>
      </w:r>
    </w:p>
    <w:p>
      <w:pPr>
        <w:tabs>
          <w:tab w:val="left" w:pos="900"/>
        </w:tabs>
        <w:spacing w:afterLines="50" w:line="500" w:lineRule="exact"/>
        <w:ind w:firstLine="477" w:firstLineChars="19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在签订合同时，须向采购人交纳履约保证金,于合同履行后无息退还。履约保证金用以约束成交供应商在合同履行中的行为，弥补合同执行中由于自身行为可能给采购人带来的各种损失。</w:t>
      </w:r>
    </w:p>
    <w:p>
      <w:pPr>
        <w:tabs>
          <w:tab w:val="left" w:pos="900"/>
        </w:tabs>
        <w:spacing w:afterLines="50" w:line="500" w:lineRule="exact"/>
        <w:ind w:firstLine="477" w:firstLineChars="199"/>
        <w:rPr>
          <w:rFonts w:ascii="宋体" w:hAnsi="宋体"/>
          <w:color w:val="000000" w:themeColor="text1"/>
          <w:sz w:val="24"/>
          <w14:textFill>
            <w14:solidFill>
              <w14:schemeClr w14:val="tx1"/>
            </w14:solidFill>
          </w14:textFill>
        </w:rPr>
      </w:pPr>
    </w:p>
    <w:p>
      <w:pPr>
        <w:tabs>
          <w:tab w:val="left" w:pos="900"/>
        </w:tabs>
        <w:spacing w:afterLines="50" w:line="500" w:lineRule="exact"/>
        <w:ind w:firstLine="477" w:firstLineChars="199"/>
        <w:rPr>
          <w:rFonts w:ascii="宋体" w:hAnsi="宋体"/>
          <w:color w:val="000000" w:themeColor="text1"/>
          <w:sz w:val="24"/>
          <w14:textFill>
            <w14:solidFill>
              <w14:schemeClr w14:val="tx1"/>
            </w14:solidFill>
          </w14:textFill>
        </w:rPr>
      </w:pPr>
    </w:p>
    <w:p>
      <w:pPr>
        <w:tabs>
          <w:tab w:val="left" w:pos="900"/>
        </w:tabs>
        <w:spacing w:afterLines="50" w:line="500" w:lineRule="exact"/>
        <w:ind w:firstLine="477" w:firstLineChars="199"/>
        <w:rPr>
          <w:rFonts w:ascii="宋体" w:hAnsi="宋体"/>
          <w:color w:val="000000" w:themeColor="text1"/>
          <w:sz w:val="24"/>
          <w14:textFill>
            <w14:solidFill>
              <w14:schemeClr w14:val="tx1"/>
            </w14:solidFill>
          </w14:textFill>
        </w:rPr>
      </w:pPr>
    </w:p>
    <w:p>
      <w:pPr>
        <w:pStyle w:val="2"/>
        <w:rPr>
          <w:rFonts w:ascii="宋体" w:hAnsi="宋体"/>
          <w:color w:val="000000" w:themeColor="text1"/>
          <w:sz w:val="24"/>
          <w14:textFill>
            <w14:solidFill>
              <w14:schemeClr w14:val="tx1"/>
            </w14:solidFill>
          </w14:textFill>
        </w:rPr>
      </w:pPr>
    </w:p>
    <w:p>
      <w:pPr>
        <w:pStyle w:val="2"/>
        <w:rPr>
          <w:rFonts w:ascii="宋体" w:hAnsi="宋体"/>
          <w:color w:val="000000" w:themeColor="text1"/>
          <w:sz w:val="24"/>
          <w14:textFill>
            <w14:solidFill>
              <w14:schemeClr w14:val="tx1"/>
            </w14:solidFill>
          </w14:textFill>
        </w:rPr>
      </w:pPr>
    </w:p>
    <w:p>
      <w:pPr>
        <w:pStyle w:val="2"/>
        <w:rPr>
          <w:rFonts w:ascii="宋体" w:hAnsi="宋体"/>
          <w:color w:val="000000" w:themeColor="text1"/>
          <w:sz w:val="24"/>
          <w14:textFill>
            <w14:solidFill>
              <w14:schemeClr w14:val="tx1"/>
            </w14:solidFill>
          </w14:textFill>
        </w:rPr>
      </w:pPr>
    </w:p>
    <w:p>
      <w:pPr>
        <w:pStyle w:val="2"/>
        <w:rPr>
          <w:rFonts w:ascii="宋体" w:hAnsi="宋体"/>
          <w:color w:val="000000" w:themeColor="text1"/>
          <w:sz w:val="24"/>
          <w14:textFill>
            <w14:solidFill>
              <w14:schemeClr w14:val="tx1"/>
            </w14:solidFill>
          </w14:textFill>
        </w:rPr>
      </w:pPr>
    </w:p>
    <w:p>
      <w:pPr>
        <w:pStyle w:val="2"/>
        <w:rPr>
          <w:rFonts w:ascii="宋体" w:hAnsi="宋体"/>
          <w:color w:val="000000" w:themeColor="text1"/>
          <w:sz w:val="24"/>
          <w14:textFill>
            <w14:solidFill>
              <w14:schemeClr w14:val="tx1"/>
            </w14:solidFill>
          </w14:textFill>
        </w:rPr>
      </w:pPr>
    </w:p>
    <w:p>
      <w:pPr>
        <w:pStyle w:val="2"/>
        <w:rPr>
          <w:rFonts w:ascii="宋体" w:hAnsi="宋体"/>
          <w:color w:val="000000" w:themeColor="text1"/>
          <w:sz w:val="24"/>
          <w14:textFill>
            <w14:solidFill>
              <w14:schemeClr w14:val="tx1"/>
            </w14:solidFill>
          </w14:textFill>
        </w:rPr>
      </w:pPr>
    </w:p>
    <w:p>
      <w:pPr>
        <w:pStyle w:val="2"/>
        <w:rPr>
          <w:rFonts w:ascii="宋体" w:hAnsi="宋体"/>
          <w:color w:val="000000" w:themeColor="text1"/>
          <w:sz w:val="24"/>
          <w14:textFill>
            <w14:solidFill>
              <w14:schemeClr w14:val="tx1"/>
            </w14:solidFill>
          </w14:textFill>
        </w:rPr>
      </w:pPr>
    </w:p>
    <w:p>
      <w:pPr>
        <w:pStyle w:val="2"/>
        <w:rPr>
          <w:rFonts w:ascii="宋体" w:hAnsi="宋体"/>
          <w:color w:val="000000" w:themeColor="text1"/>
          <w:sz w:val="24"/>
          <w14:textFill>
            <w14:solidFill>
              <w14:schemeClr w14:val="tx1"/>
            </w14:solidFill>
          </w14:textFill>
        </w:rPr>
      </w:pPr>
    </w:p>
    <w:p>
      <w:pPr>
        <w:pStyle w:val="2"/>
        <w:rPr>
          <w:rFonts w:ascii="宋体" w:hAnsi="宋体"/>
          <w:color w:val="000000" w:themeColor="text1"/>
          <w:sz w:val="24"/>
          <w14:textFill>
            <w14:solidFill>
              <w14:schemeClr w14:val="tx1"/>
            </w14:solidFill>
          </w14:textFill>
        </w:rPr>
      </w:pPr>
    </w:p>
    <w:p>
      <w:pPr>
        <w:pStyle w:val="2"/>
        <w:rPr>
          <w:rFonts w:ascii="宋体" w:hAnsi="宋体"/>
          <w:color w:val="000000" w:themeColor="text1"/>
          <w:sz w:val="24"/>
          <w14:textFill>
            <w14:solidFill>
              <w14:schemeClr w14:val="tx1"/>
            </w14:solidFill>
          </w14:textFill>
        </w:rPr>
      </w:pPr>
    </w:p>
    <w:p>
      <w:pPr>
        <w:tabs>
          <w:tab w:val="left" w:pos="900"/>
        </w:tabs>
        <w:spacing w:afterLines="50" w:line="500" w:lineRule="exact"/>
        <w:ind w:firstLine="477" w:firstLineChars="199"/>
        <w:rPr>
          <w:rFonts w:ascii="宋体" w:hAnsi="宋体"/>
          <w:color w:val="000000" w:themeColor="text1"/>
          <w:sz w:val="24"/>
          <w14:textFill>
            <w14:solidFill>
              <w14:schemeClr w14:val="tx1"/>
            </w14:solidFill>
          </w14:textFill>
        </w:rPr>
      </w:pPr>
    </w:p>
    <w:p>
      <w:pPr>
        <w:tabs>
          <w:tab w:val="left" w:pos="900"/>
        </w:tabs>
        <w:spacing w:afterLines="50" w:line="500" w:lineRule="exact"/>
        <w:rPr>
          <w:rFonts w:ascii="宋体" w:hAnsi="宋体"/>
          <w:color w:val="000000" w:themeColor="text1"/>
          <w:sz w:val="24"/>
          <w14:textFill>
            <w14:solidFill>
              <w14:schemeClr w14:val="tx1"/>
            </w14:solidFill>
          </w14:textFill>
        </w:rPr>
      </w:pPr>
    </w:p>
    <w:p>
      <w:pPr>
        <w:tabs>
          <w:tab w:val="left" w:pos="900"/>
        </w:tabs>
        <w:spacing w:afterLines="50" w:line="500" w:lineRule="exact"/>
        <w:ind w:firstLine="719" w:firstLineChars="199"/>
        <w:jc w:val="center"/>
        <w:rPr>
          <w:rFonts w:ascii="宋体"/>
          <w:b/>
          <w:color w:val="000000" w:themeColor="text1"/>
          <w:sz w:val="24"/>
          <w:szCs w:val="24"/>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第三章  合同条款及</w:t>
      </w:r>
      <w:bookmarkEnd w:id="67"/>
      <w:bookmarkEnd w:id="68"/>
      <w:bookmarkEnd w:id="69"/>
      <w:bookmarkEnd w:id="70"/>
      <w:bookmarkEnd w:id="71"/>
      <w:r>
        <w:rPr>
          <w:rFonts w:hint="eastAsia" w:ascii="宋体" w:hAnsi="宋体"/>
          <w:b/>
          <w:bCs/>
          <w:color w:val="000000" w:themeColor="text1"/>
          <w:sz w:val="36"/>
          <w:szCs w:val="36"/>
          <w14:textFill>
            <w14:solidFill>
              <w14:schemeClr w14:val="tx1"/>
            </w14:solidFill>
          </w14:textFill>
        </w:rPr>
        <w:t>格式</w:t>
      </w:r>
    </w:p>
    <w:p>
      <w:pPr>
        <w:spacing w:line="500" w:lineRule="exact"/>
        <w:ind w:firstLine="480" w:firstLineChars="200"/>
        <w:rPr>
          <w:rFonts w:ascii="宋体"/>
          <w:bCs/>
          <w:color w:val="000000" w:themeColor="text1"/>
          <w:sz w:val="24"/>
          <w:szCs w:val="24"/>
          <w14:textFill>
            <w14:solidFill>
              <w14:schemeClr w14:val="tx1"/>
            </w14:solidFill>
          </w14:textFill>
        </w:rPr>
      </w:pPr>
      <w:bookmarkStart w:id="124" w:name="_Toc20823315"/>
      <w:bookmarkStart w:id="125" w:name="_Toc513029243"/>
      <w:bookmarkStart w:id="126" w:name="_Toc16938559"/>
      <w:r>
        <w:rPr>
          <w:rFonts w:hint="eastAsia" w:ascii="宋体" w:hAnsi="宋体"/>
          <w:bCs/>
          <w:color w:val="000000" w:themeColor="text1"/>
          <w:sz w:val="24"/>
          <w:szCs w:val="24"/>
          <w14:textFill>
            <w14:solidFill>
              <w14:schemeClr w14:val="tx1"/>
            </w14:solidFill>
          </w14:textFill>
        </w:rPr>
        <w:t>以下为中标后签定本项目合同的通用条款，中标人不得提出实质性的修改，关于专用条款将由采购人与中标人结合本项目具体情况协商后签订。</w:t>
      </w:r>
    </w:p>
    <w:p>
      <w:pPr>
        <w:snapToGrid w:val="0"/>
        <w:spacing w:beforeLines="50" w:afterLines="50" w:line="500" w:lineRule="exact"/>
        <w:jc w:val="center"/>
        <w:outlineLvl w:val="0"/>
        <w:rPr>
          <w:rFonts w:ascii="宋体"/>
          <w:b/>
          <w:bCs/>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政府采购合同（货物）（合同编号）</w:t>
      </w:r>
    </w:p>
    <w:p>
      <w:pPr>
        <w:pStyle w:val="20"/>
        <w:snapToGrid w:val="0"/>
        <w:spacing w:before="120" w:after="120" w:line="50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项目名称：</w:t>
      </w:r>
      <w:r>
        <w:rPr>
          <w:rFonts w:hAnsi="宋体"/>
          <w:color w:val="000000" w:themeColor="text1"/>
          <w:sz w:val="24"/>
          <w:szCs w:val="24"/>
          <w14:textFill>
            <w14:solidFill>
              <w14:schemeClr w14:val="tx1"/>
            </w14:solidFill>
          </w14:textFill>
        </w:rPr>
        <w:t xml:space="preserve">                                     </w:t>
      </w:r>
    </w:p>
    <w:p>
      <w:pPr>
        <w:pStyle w:val="20"/>
        <w:snapToGrid w:val="0"/>
        <w:spacing w:before="120" w:after="120" w:line="50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甲方：（买方）</w:t>
      </w:r>
      <w:r>
        <w:rPr>
          <w:rFonts w:hAnsi="宋体"/>
          <w:color w:val="000000" w:themeColor="text1"/>
          <w:sz w:val="24"/>
          <w:szCs w:val="24"/>
          <w14:textFill>
            <w14:solidFill>
              <w14:schemeClr w14:val="tx1"/>
            </w14:solidFill>
          </w14:textFill>
        </w:rPr>
        <w:t>_________</w:t>
      </w:r>
    </w:p>
    <w:p>
      <w:pPr>
        <w:pStyle w:val="20"/>
        <w:snapToGrid w:val="0"/>
        <w:spacing w:before="120" w:after="120" w:line="50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乙方：（卖方）</w:t>
      </w:r>
      <w:r>
        <w:rPr>
          <w:rFonts w:hAnsi="宋体"/>
          <w:color w:val="000000" w:themeColor="text1"/>
          <w:sz w:val="24"/>
          <w:szCs w:val="24"/>
          <w14:textFill>
            <w14:solidFill>
              <w14:schemeClr w14:val="tx1"/>
            </w14:solidFill>
          </w14:textFill>
        </w:rPr>
        <w:t>_________</w:t>
      </w:r>
    </w:p>
    <w:p>
      <w:pPr>
        <w:pStyle w:val="20"/>
        <w:snapToGrid w:val="0"/>
        <w:spacing w:before="120" w:after="120" w:line="500" w:lineRule="exact"/>
        <w:rPr>
          <w:rFonts w:hAnsi="宋体"/>
          <w:b/>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甲、乙双方根据</w:t>
      </w:r>
      <w:r>
        <w:rPr>
          <w:rFonts w:hint="eastAsia" w:hAnsi="宋体"/>
          <w:color w:val="000000" w:themeColor="text1"/>
          <w:sz w:val="24"/>
          <w:szCs w:val="24"/>
          <w:u w:val="single"/>
          <w:lang w:eastAsia="zh-CN"/>
          <w14:textFill>
            <w14:solidFill>
              <w14:schemeClr w14:val="tx1"/>
            </w14:solidFill>
          </w14:textFill>
        </w:rPr>
        <w:t>消防维保及设备保养项目</w:t>
      </w:r>
      <w:r>
        <w:rPr>
          <w:rFonts w:hint="eastAsia" w:hAnsi="宋体"/>
          <w:color w:val="000000" w:themeColor="text1"/>
          <w:sz w:val="24"/>
          <w:szCs w:val="24"/>
          <w14:textFill>
            <w14:solidFill>
              <w14:schemeClr w14:val="tx1"/>
            </w14:solidFill>
          </w14:textFill>
        </w:rPr>
        <w:t>公开招标的结果，签署本合同。</w:t>
      </w:r>
    </w:p>
    <w:p>
      <w:pPr>
        <w:pStyle w:val="20"/>
        <w:snapToGrid w:val="0"/>
        <w:spacing w:before="120" w:after="120" w:line="500" w:lineRule="exact"/>
        <w:rPr>
          <w:rFonts w:hint="default" w:hAnsi="宋体"/>
          <w:b/>
          <w:color w:val="000000" w:themeColor="text1"/>
          <w:sz w:val="24"/>
          <w:szCs w:val="24"/>
          <w:lang w:val="en-US"/>
          <w14:textFill>
            <w14:solidFill>
              <w14:schemeClr w14:val="tx1"/>
            </w14:solidFill>
          </w14:textFill>
        </w:rPr>
      </w:pPr>
      <w:r>
        <w:rPr>
          <w:rFonts w:hint="eastAsia" w:hAnsi="宋体"/>
          <w:b/>
          <w:color w:val="000000" w:themeColor="text1"/>
          <w:sz w:val="24"/>
          <w:szCs w:val="24"/>
          <w14:textFill>
            <w14:solidFill>
              <w14:schemeClr w14:val="tx1"/>
            </w14:solidFill>
          </w14:textFill>
        </w:rPr>
        <w:t>一、</w:t>
      </w:r>
      <w:r>
        <w:rPr>
          <w:rFonts w:hint="eastAsia" w:hAnsi="宋体"/>
          <w:b/>
          <w:color w:val="000000" w:themeColor="text1"/>
          <w:sz w:val="24"/>
          <w:szCs w:val="24"/>
          <w:lang w:val="en-US" w:eastAsia="zh-CN"/>
          <w14:textFill>
            <w14:solidFill>
              <w14:schemeClr w14:val="tx1"/>
            </w14:solidFill>
          </w14:textFill>
        </w:rPr>
        <w:t>驻场人员要求</w:t>
      </w:r>
    </w:p>
    <w:p>
      <w:pPr>
        <w:pStyle w:val="20"/>
        <w:snapToGrid w:val="0"/>
        <w:spacing w:before="120" w:after="120" w:line="500" w:lineRule="exact"/>
        <w:ind w:firstLine="720" w:firstLineChars="300"/>
        <w:rPr>
          <w:rFonts w:hint="eastAsia" w:hAnsi="宋体"/>
          <w:b w:val="0"/>
          <w:bCs/>
          <w:color w:val="000000" w:themeColor="text1"/>
          <w:sz w:val="24"/>
          <w:szCs w:val="24"/>
          <w:lang w:val="en-US" w:eastAsia="zh-CN"/>
          <w14:textFill>
            <w14:solidFill>
              <w14:schemeClr w14:val="tx1"/>
            </w14:solidFill>
          </w14:textFill>
        </w:rPr>
      </w:pPr>
      <w:r>
        <w:rPr>
          <w:rFonts w:hint="eastAsia" w:hAnsi="宋体"/>
          <w:b w:val="0"/>
          <w:bCs/>
          <w:color w:val="000000" w:themeColor="text1"/>
          <w:sz w:val="24"/>
          <w:szCs w:val="24"/>
          <w:lang w:val="en-US" w:eastAsia="zh-CN"/>
          <w14:textFill>
            <w14:solidFill>
              <w14:schemeClr w14:val="tx1"/>
            </w14:solidFill>
          </w14:textFill>
        </w:rPr>
        <w:t>1、中标单位需派驻值班人员对盐城市中医院消防及智能化监控中心，实行24小时值班制（每岗不少于2人，值班地点为盐城市中医院消防及智能化监控中心），且作业人员年龄不得超过法定退休年龄（其中男作业人员数量不少于总值班人员数量的50%），值班人员需持有相应的（消防人员）上岗资格证书，另1名专职消防设施管理人员负责日常消防管理和应急处理。人员上岗前，由业主面试。</w:t>
      </w:r>
    </w:p>
    <w:p>
      <w:pPr>
        <w:pStyle w:val="20"/>
        <w:snapToGrid w:val="0"/>
        <w:spacing w:before="120" w:after="120" w:line="500" w:lineRule="exact"/>
        <w:ind w:firstLine="720" w:firstLineChars="300"/>
        <w:rPr>
          <w:rFonts w:hint="eastAsia" w:hAnsi="宋体"/>
          <w:b w:val="0"/>
          <w:bCs/>
          <w:color w:val="000000" w:themeColor="text1"/>
          <w:sz w:val="24"/>
          <w:szCs w:val="24"/>
          <w:lang w:val="en-US" w:eastAsia="zh-CN"/>
          <w14:textFill>
            <w14:solidFill>
              <w14:schemeClr w14:val="tx1"/>
            </w14:solidFill>
          </w14:textFill>
        </w:rPr>
      </w:pPr>
      <w:r>
        <w:rPr>
          <w:rFonts w:hint="eastAsia" w:hAnsi="宋体"/>
          <w:b w:val="0"/>
          <w:bCs/>
          <w:color w:val="000000" w:themeColor="text1"/>
          <w:sz w:val="24"/>
          <w:szCs w:val="24"/>
          <w:lang w:val="en-US" w:eastAsia="zh-CN"/>
          <w14:textFill>
            <w14:solidFill>
              <w14:schemeClr w14:val="tx1"/>
            </w14:solidFill>
          </w14:textFill>
        </w:rPr>
        <w:t>2、实行24小时值班制度。值班人员应通过消防行业特有工种职业技能鉴定，持有初级技能以上等级的职业资格证书。</w:t>
      </w:r>
    </w:p>
    <w:p>
      <w:pPr>
        <w:pStyle w:val="20"/>
        <w:snapToGrid w:val="0"/>
        <w:spacing w:before="120" w:after="120" w:line="500" w:lineRule="exact"/>
        <w:ind w:firstLine="720" w:firstLineChars="300"/>
        <w:rPr>
          <w:rFonts w:hint="default" w:hAnsi="宋体"/>
          <w:b w:val="0"/>
          <w:bCs/>
          <w:color w:val="000000" w:themeColor="text1"/>
          <w:sz w:val="24"/>
          <w:szCs w:val="24"/>
          <w:lang w:val="en-US" w:eastAsia="zh-CN"/>
          <w14:textFill>
            <w14:solidFill>
              <w14:schemeClr w14:val="tx1"/>
            </w14:solidFill>
          </w14:textFill>
        </w:rPr>
      </w:pPr>
      <w:r>
        <w:rPr>
          <w:rFonts w:hint="eastAsia" w:hAnsi="宋体"/>
          <w:b w:val="0"/>
          <w:bCs/>
          <w:color w:val="000000" w:themeColor="text1"/>
          <w:sz w:val="24"/>
          <w:szCs w:val="24"/>
          <w:lang w:val="en-US" w:eastAsia="zh-CN"/>
          <w14:textFill>
            <w14:solidFill>
              <w14:schemeClr w14:val="tx1"/>
            </w14:solidFill>
          </w14:textFill>
        </w:rPr>
        <w:t>3、每班工作时间应不大于8H，每班人员不少于2人。</w:t>
      </w:r>
    </w:p>
    <w:p>
      <w:pPr>
        <w:pStyle w:val="20"/>
        <w:snapToGrid w:val="0"/>
        <w:spacing w:before="120" w:after="120" w:line="500" w:lineRule="exac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二、合同金额</w:t>
      </w:r>
    </w:p>
    <w:p>
      <w:pPr>
        <w:pStyle w:val="20"/>
        <w:snapToGrid w:val="0"/>
        <w:spacing w:before="120" w:after="120" w:line="500" w:lineRule="exact"/>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2.1 </w:t>
      </w:r>
      <w:r>
        <w:rPr>
          <w:rFonts w:hint="eastAsia" w:hAnsi="宋体"/>
          <w:color w:val="000000" w:themeColor="text1"/>
          <w:sz w:val="24"/>
          <w:szCs w:val="24"/>
          <w14:textFill>
            <w14:solidFill>
              <w14:schemeClr w14:val="tx1"/>
            </w14:solidFill>
          </w14:textFill>
        </w:rPr>
        <w:t>本合同金额为：人民币（大写）</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元整</w:t>
      </w:r>
      <w:r>
        <w:rPr>
          <w:rFonts w:hint="eastAsia" w:ascii="新宋体" w:hAnsi="新宋体" w:eastAsia="新宋体"/>
          <w:sz w:val="24"/>
        </w:rPr>
        <w:t>（￥</w:t>
      </w:r>
      <w:r>
        <w:rPr>
          <w:rFonts w:hint="eastAsia" w:ascii="新宋体" w:hAnsi="新宋体" w:eastAsia="新宋体"/>
          <w:sz w:val="24"/>
          <w:u w:val="single"/>
        </w:rPr>
        <w:t xml:space="preserve">     </w:t>
      </w:r>
      <w:r>
        <w:rPr>
          <w:rFonts w:hint="eastAsia" w:ascii="新宋体" w:hAnsi="新宋体" w:eastAsia="新宋体"/>
          <w:sz w:val="24"/>
        </w:rPr>
        <w:t>元）</w:t>
      </w:r>
      <w:r>
        <w:rPr>
          <w:rFonts w:hint="eastAsia" w:hAnsi="宋体"/>
          <w:color w:val="000000" w:themeColor="text1"/>
          <w:sz w:val="24"/>
          <w:szCs w:val="24"/>
          <w14:textFill>
            <w14:solidFill>
              <w14:schemeClr w14:val="tx1"/>
            </w14:solidFill>
          </w14:textFill>
        </w:rPr>
        <w:t>。</w:t>
      </w:r>
      <w:r>
        <w:rPr>
          <w:rFonts w:hint="eastAsia" w:ascii="宋体" w:hAnsi="宋体"/>
          <w:sz w:val="24"/>
        </w:rPr>
        <w:t>完成该服务项目的维保服务需要的人员酬金、工具材料费、配件费用、管理费、保险、利润、税金、政策性文件规定及合同包含的所有风险、责任等一切费用，如有漏项，视同已包含在其总项目中。</w:t>
      </w:r>
    </w:p>
    <w:p>
      <w:pPr>
        <w:spacing w:line="360" w:lineRule="auto"/>
        <w:rPr>
          <w:rFonts w:hint="eastAsia" w:ascii="宋体" w:hAnsi="宋体"/>
          <w:sz w:val="24"/>
        </w:rPr>
      </w:pPr>
      <w:r>
        <w:rPr>
          <w:rFonts w:hint="eastAsia" w:ascii="宋体" w:hAnsi="宋体" w:cs="Courier New"/>
          <w:b/>
          <w:color w:val="000000" w:themeColor="text1"/>
          <w:kern w:val="2"/>
          <w:sz w:val="24"/>
          <w:szCs w:val="24"/>
          <w:lang w:val="en-US" w:eastAsia="zh-CN" w:bidi="ar-SA"/>
          <w14:textFill>
            <w14:solidFill>
              <w14:schemeClr w14:val="tx1"/>
            </w14:solidFill>
          </w14:textFill>
        </w:rPr>
        <w:t>三</w:t>
      </w:r>
      <w:r>
        <w:rPr>
          <w:rFonts w:hint="eastAsia" w:ascii="宋体" w:hAnsi="宋体" w:eastAsia="宋体" w:cs="Courier New"/>
          <w:b/>
          <w:color w:val="000000" w:themeColor="text1"/>
          <w:kern w:val="2"/>
          <w:sz w:val="24"/>
          <w:szCs w:val="24"/>
          <w:lang w:val="en-US" w:eastAsia="zh-CN" w:bidi="ar-SA"/>
          <w14:textFill>
            <w14:solidFill>
              <w14:schemeClr w14:val="tx1"/>
            </w14:solidFill>
          </w14:textFill>
        </w:rPr>
        <w:t>、维保期限、地点及维保内容</w:t>
      </w:r>
    </w:p>
    <w:p>
      <w:pPr>
        <w:spacing w:line="360" w:lineRule="auto"/>
        <w:rPr>
          <w:rFonts w:hint="eastAsia" w:ascii="宋体" w:hAnsi="宋体"/>
          <w:sz w:val="24"/>
        </w:rPr>
      </w:pPr>
      <w:r>
        <w:rPr>
          <w:rFonts w:hint="eastAsia" w:ascii="宋体" w:hAnsi="宋体"/>
          <w:sz w:val="24"/>
          <w:lang w:val="en-US" w:eastAsia="zh-CN"/>
        </w:rPr>
        <w:t>3.1</w:t>
      </w:r>
      <w:r>
        <w:rPr>
          <w:rFonts w:hint="eastAsia" w:ascii="宋体" w:hAnsi="宋体"/>
          <w:sz w:val="24"/>
        </w:rPr>
        <w:t xml:space="preserve"> 维保期限：</w:t>
      </w:r>
    </w:p>
    <w:p>
      <w:pPr>
        <w:spacing w:line="360" w:lineRule="auto"/>
        <w:rPr>
          <w:rFonts w:hint="eastAsia" w:ascii="宋体" w:hAnsi="宋体"/>
          <w:sz w:val="24"/>
        </w:rPr>
      </w:pPr>
      <w:r>
        <w:rPr>
          <w:rFonts w:hint="eastAsia" w:ascii="宋体" w:hAnsi="宋体"/>
          <w:sz w:val="24"/>
        </w:rPr>
        <w:t>委托服务期限为</w:t>
      </w:r>
      <w:r>
        <w:rPr>
          <w:rFonts w:hint="eastAsia" w:ascii="宋体" w:hAnsi="宋体"/>
          <w:sz w:val="24"/>
          <w:u w:val="single"/>
          <w:lang w:val="en-US" w:eastAsia="zh-CN"/>
        </w:rPr>
        <w:t>一</w:t>
      </w:r>
      <w:r>
        <w:rPr>
          <w:rFonts w:hint="eastAsia" w:ascii="宋体" w:hAnsi="宋体"/>
          <w:sz w:val="24"/>
          <w:u w:val="single"/>
        </w:rPr>
        <w:t>年</w:t>
      </w:r>
      <w:r>
        <w:rPr>
          <w:rFonts w:hint="eastAsia" w:ascii="宋体" w:hAnsi="宋体"/>
          <w:sz w:val="24"/>
        </w:rPr>
        <w:t>。服务期限自</w:t>
      </w:r>
      <w:r>
        <w:rPr>
          <w:rFonts w:hint="eastAsia" w:ascii="宋体" w:hAnsi="宋体"/>
          <w:sz w:val="24"/>
          <w:u w:val="single"/>
        </w:rPr>
        <w:t xml:space="preserve"> 20</w:t>
      </w:r>
      <w:r>
        <w:rPr>
          <w:rFonts w:hint="eastAsia" w:ascii="宋体" w:hAnsi="宋体"/>
          <w:sz w:val="24"/>
          <w:u w:val="single"/>
          <w:lang w:val="en-US" w:eastAsia="zh-CN"/>
        </w:rPr>
        <w:t xml:space="preserve">  </w:t>
      </w:r>
      <w:r>
        <w:rPr>
          <w:rFonts w:hint="eastAsia" w:ascii="宋体" w:hAnsi="宋体"/>
          <w:sz w:val="24"/>
          <w:u w:val="single"/>
        </w:rPr>
        <w:t>年 月 日至20  年 月 日</w:t>
      </w:r>
      <w:r>
        <w:rPr>
          <w:rFonts w:hint="eastAsia" w:ascii="宋体" w:hAnsi="宋体"/>
          <w:sz w:val="24"/>
        </w:rPr>
        <w:t>。</w:t>
      </w:r>
    </w:p>
    <w:p>
      <w:pPr>
        <w:spacing w:line="360" w:lineRule="auto"/>
        <w:rPr>
          <w:rFonts w:hint="default" w:ascii="宋体" w:hAnsi="宋体" w:eastAsia="宋体"/>
          <w:sz w:val="24"/>
          <w:lang w:val="en-US" w:eastAsia="zh-CN"/>
        </w:rPr>
      </w:pPr>
      <w:r>
        <w:rPr>
          <w:rFonts w:hint="eastAsia" w:ascii="宋体" w:hAnsi="宋体"/>
          <w:sz w:val="24"/>
          <w:lang w:val="en-US" w:eastAsia="zh-CN"/>
        </w:rPr>
        <w:t>3.2</w:t>
      </w:r>
      <w:r>
        <w:rPr>
          <w:rFonts w:hint="eastAsia" w:ascii="宋体" w:hAnsi="宋体"/>
          <w:sz w:val="24"/>
        </w:rPr>
        <w:t>项目地点：</w:t>
      </w:r>
      <w:r>
        <w:rPr>
          <w:rFonts w:hint="eastAsia" w:ascii="宋体" w:hAnsi="宋体"/>
          <w:sz w:val="24"/>
          <w:lang w:val="en-US" w:eastAsia="zh-CN"/>
        </w:rPr>
        <w:t>盐城市中医院</w:t>
      </w:r>
    </w:p>
    <w:p>
      <w:pPr>
        <w:spacing w:line="360" w:lineRule="auto"/>
        <w:rPr>
          <w:rFonts w:hint="eastAsia" w:ascii="宋体" w:hAnsi="宋体"/>
          <w:sz w:val="24"/>
        </w:rPr>
      </w:pPr>
      <w:r>
        <w:rPr>
          <w:rFonts w:hint="eastAsia" w:ascii="宋体" w:hAnsi="宋体"/>
          <w:sz w:val="24"/>
          <w:lang w:val="en-US" w:eastAsia="zh-CN"/>
        </w:rPr>
        <w:t>3.3</w:t>
      </w:r>
      <w:r>
        <w:rPr>
          <w:rFonts w:hint="eastAsia" w:ascii="宋体" w:hAnsi="宋体"/>
          <w:sz w:val="24"/>
        </w:rPr>
        <w:t>维保质量要求：维保项目服务应符合相关法律、法规以及其他相关消防法规、规范和技术要求；</w:t>
      </w:r>
      <w:r>
        <w:rPr>
          <w:rFonts w:hint="eastAsia" w:ascii="宋体" w:hAnsi="宋体"/>
          <w:color w:val="000000"/>
          <w:sz w:val="24"/>
        </w:rPr>
        <w:t>保持整个</w:t>
      </w:r>
      <w:r>
        <w:rPr>
          <w:rFonts w:hint="eastAsia" w:ascii="宋体" w:hAnsi="宋体"/>
          <w:color w:val="000000"/>
          <w:sz w:val="24"/>
          <w:lang w:eastAsia="zh-CN"/>
        </w:rPr>
        <w:t>消防</w:t>
      </w:r>
      <w:r>
        <w:rPr>
          <w:rFonts w:hint="eastAsia" w:ascii="宋体" w:hAnsi="宋体"/>
          <w:color w:val="000000"/>
          <w:sz w:val="24"/>
        </w:rPr>
        <w:t>系统运行良好。</w:t>
      </w:r>
    </w:p>
    <w:p>
      <w:pPr>
        <w:spacing w:line="360" w:lineRule="auto"/>
        <w:rPr>
          <w:rFonts w:hint="eastAsia" w:ascii="宋体" w:hAnsi="宋体"/>
          <w:sz w:val="24"/>
        </w:rPr>
      </w:pPr>
      <w:r>
        <w:rPr>
          <w:rFonts w:hint="eastAsia" w:ascii="宋体" w:hAnsi="宋体"/>
          <w:sz w:val="24"/>
          <w:lang w:val="en-US" w:eastAsia="zh-CN"/>
        </w:rPr>
        <w:t>3.4</w:t>
      </w:r>
      <w:r>
        <w:rPr>
          <w:rFonts w:hint="eastAsia" w:ascii="宋体" w:hAnsi="宋体"/>
          <w:sz w:val="24"/>
        </w:rPr>
        <w:t>维保内容：</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4.1火灾自动报警系统</w:t>
      </w:r>
    </w:p>
    <w:p>
      <w:pPr>
        <w:spacing w:line="360" w:lineRule="auto"/>
        <w:rPr>
          <w:rFonts w:hint="eastAsia" w:ascii="宋体" w:hAnsi="宋体"/>
          <w:sz w:val="24"/>
        </w:rPr>
      </w:pPr>
      <w:r>
        <w:rPr>
          <w:rFonts w:hint="eastAsia" w:ascii="宋体" w:hAnsi="宋体"/>
          <w:sz w:val="24"/>
        </w:rPr>
        <w:t>Ⅰ.每月检查功能</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4.1.1主控屏每月检测一次，发现问题，立即处理，保障各回路正常工程；</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4.1.2主控屏电池组每月检查、清理一次，每季度保养试验一次。</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4.1.3每月检查火灾报警控制器自检功能、消音复位功能、故障报警功能、火灾记忆功能和主备电源自动转换功能。</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4.1.4每月检查消防控制室或消防值班室工作环境以及火灾报警控制器、联动控制器、层显器、探测器。</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 xml:space="preserve">4.1.5每月检查探测点的显示，联动程序。 </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4.1.6每月检查备用电的充放电功能。</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4.1.7每月检查探测器肮脏度、灵敏度、自动环境补偿、预报警、响应域值、通讯故 障及其他必要的功能试验。</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 xml:space="preserve">4.1.8每月检查模块通讯故障、自动诊断、历史记录。 </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4.1.9每月检查手动报警按钮外观有无损坏，报警及指示灯是否正常。</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4.1.10每月检查本系统的值班记录，同保卫科消防值班人员共同做好维护保养的记 录。</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4.1.11每月检查（警铃）音响度、灵敏度，部位的正确。</w:t>
      </w:r>
    </w:p>
    <w:p>
      <w:pPr>
        <w:spacing w:line="360" w:lineRule="auto"/>
        <w:rPr>
          <w:rFonts w:hint="eastAsia" w:ascii="宋体" w:hAnsi="宋体"/>
          <w:sz w:val="24"/>
        </w:rPr>
      </w:pPr>
      <w:r>
        <w:rPr>
          <w:rFonts w:hint="eastAsia" w:ascii="宋体" w:hAnsi="宋体"/>
          <w:sz w:val="24"/>
        </w:rPr>
        <w:t xml:space="preserve">Ⅱ.每季度检查下列功能： </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 xml:space="preserve">4.1.12采用检测设备分期分批试验探测器的工作情况。 </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 xml:space="preserve">4.1.13试验全手动报警按钮。 </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 xml:space="preserve">4.1.14自动或手动试验相关联动控制设备的控制和显示功能。 </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 xml:space="preserve">4.1.15对系统回路电压、回路地阻、回路对地电阻进行检查、测试。 </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 xml:space="preserve">4.1.16对消防电话插孔和对讲电话进行通话试验。 </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4.1.17综合试验，如检验层报警，保障上一层和下一层同步启动报警。</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4.1.18综合上述各分项试验，测试消防主控屏的报警、故障显示、消音、复位、火灾记忆功能，并进行消防主电源和备用电源的自动切换模拟试验和充放电实验，对非消防电源切换、空调、疏散指示标志等设备的联动进行模拟试验。维保方巡查、检验应形成书面意见，并做好登记造册备案，送</w:t>
      </w:r>
      <w:r>
        <w:rPr>
          <w:rFonts w:hint="eastAsia" w:ascii="宋体" w:hAnsi="宋体"/>
          <w:sz w:val="24"/>
          <w:lang w:eastAsia="zh-CN"/>
        </w:rPr>
        <w:t>采购人</w:t>
      </w:r>
      <w:r>
        <w:rPr>
          <w:rFonts w:hint="eastAsia" w:ascii="宋体" w:hAnsi="宋体"/>
          <w:sz w:val="24"/>
        </w:rPr>
        <w:t>及相关部门备份。</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4.2自动喷淋灭火系统</w:t>
      </w:r>
    </w:p>
    <w:p>
      <w:pPr>
        <w:spacing w:line="360" w:lineRule="auto"/>
        <w:rPr>
          <w:rFonts w:hint="eastAsia" w:ascii="宋体" w:hAnsi="宋体"/>
          <w:sz w:val="24"/>
        </w:rPr>
      </w:pPr>
      <w:r>
        <w:rPr>
          <w:rFonts w:hint="eastAsia" w:ascii="宋体" w:hAnsi="宋体"/>
          <w:sz w:val="24"/>
        </w:rPr>
        <w:t>Ⅰ.每月检查功能</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4.2.1喷淋泵一主一备的功能试验包括自然启动和遥控开泵、停泵等功能。</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4.2.2恒压泵的功能试验。</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4.2.3喷淋主泵的湿式自动报警阀的功能试验。</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4.2.4水流指示器做放水、报警、复位等功能试验。</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4.2.5年度的模拟火警喷淋头爆胆的综合系统试验。</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4.2.6喷淋系统水泵接合器检查和保养。</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4.2.7系统各项连接联运或主控屏的讯号。</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4.2.8消防喷淋系统末端放水试验。</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4.2.9以上未列的组合及部分的功能、讯号。</w:t>
      </w:r>
    </w:p>
    <w:p>
      <w:pPr>
        <w:spacing w:line="360" w:lineRule="auto"/>
        <w:rPr>
          <w:rFonts w:hint="eastAsia" w:ascii="宋体" w:hAnsi="宋体"/>
          <w:sz w:val="24"/>
        </w:rPr>
      </w:pPr>
      <w:r>
        <w:rPr>
          <w:rFonts w:hint="eastAsia" w:ascii="宋体" w:hAnsi="宋体"/>
          <w:sz w:val="24"/>
        </w:rPr>
        <w:t xml:space="preserve">Ⅱ.每季度检查功能： </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4.2.10启动消防泵，当消防水泵启动后，应模拟自动情况下，测试管网阀门的严密性能，对系统的供水能力和联动启动泵功能，同时试验主、备泵的供水情况。</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4.2.11末端试水、屋顶消火栓出水，检查管网压力和水质。</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4.3消防栓系统</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4.3.1每月检查消防泵一主一备的功能试验包括自然启动和遥控开泵、停泵等功能。</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4.3.2每月检查消防栓箱手动按钮和警铃。</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4.3.3每月试验手动按钮破玻璃模拟报警。</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4.3.4每月检查消防栓水压。</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4.3.5试验消防栓末端放水</w:t>
      </w:r>
      <w:r>
        <w:rPr>
          <w:rFonts w:hint="eastAsia" w:ascii="宋体" w:hAnsi="宋体"/>
          <w:sz w:val="24"/>
          <w:lang w:eastAsia="zh-CN"/>
        </w:rPr>
        <w:t>，</w:t>
      </w:r>
      <w:r>
        <w:rPr>
          <w:rFonts w:hint="eastAsia" w:ascii="宋体" w:hAnsi="宋体"/>
          <w:sz w:val="24"/>
        </w:rPr>
        <w:t>每季度每个消火栓点至少巡查一次（放水检查、接口涂油养护）。</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4.3.6消防栓系统水泵结合器检查和保养。</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4.3.7系统各项连接联营或主控屏的讯号。</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4.3.8年度模拟火警消防栓综合试验。</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4.3.9每月检查以上未列的组合及构成部分功能、讯号。</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4.4通风、排烟系统</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4.4.1每月检查送风、排烟机房工作环境以及送风机、排烟机、电源控制柜，送风 口、排烟口、防火阀等是否处于正常完好状态。</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4.4.2每季度检查下列功能：</w:t>
      </w:r>
    </w:p>
    <w:p>
      <w:pPr>
        <w:spacing w:line="360" w:lineRule="auto"/>
        <w:rPr>
          <w:rFonts w:hint="eastAsia" w:ascii="宋体" w:hAnsi="宋体"/>
          <w:sz w:val="24"/>
        </w:rPr>
      </w:pPr>
      <w:r>
        <w:rPr>
          <w:rFonts w:hint="eastAsia" w:ascii="宋体" w:hAnsi="宋体"/>
          <w:sz w:val="24"/>
        </w:rPr>
        <w:t xml:space="preserve">（1）试验自动方式打开排烟口、启动送风机、排烟机。抽查楼层数量不少于总数的 50%。 </w:t>
      </w:r>
    </w:p>
    <w:p>
      <w:pPr>
        <w:spacing w:line="360" w:lineRule="auto"/>
        <w:rPr>
          <w:rFonts w:hint="eastAsia" w:ascii="宋体" w:hAnsi="宋体"/>
          <w:sz w:val="24"/>
        </w:rPr>
      </w:pPr>
      <w:r>
        <w:rPr>
          <w:rFonts w:hint="eastAsia" w:ascii="宋体" w:hAnsi="宋体"/>
          <w:sz w:val="24"/>
        </w:rPr>
        <w:t xml:space="preserve">（2）试验自动方式关闭空调系统、电动防火阀。 </w:t>
      </w:r>
    </w:p>
    <w:p>
      <w:pPr>
        <w:spacing w:line="360" w:lineRule="auto"/>
        <w:rPr>
          <w:rFonts w:hint="eastAsia" w:ascii="宋体" w:hAnsi="宋体"/>
          <w:sz w:val="24"/>
        </w:rPr>
      </w:pPr>
      <w:r>
        <w:rPr>
          <w:rFonts w:hint="eastAsia" w:ascii="宋体" w:hAnsi="宋体"/>
          <w:sz w:val="24"/>
        </w:rPr>
        <w:t>（3）试验手动方式关闭空调系统、电动防火阀。</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4.5防火卷帘门及防火分隔系统</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4.4.1每月检查防火门、防火卷帘门周围有无影响门正常启闭障碍物，检查升降电机、按钮、测试门能否处于正常启、闭状态，门的附件是否齐全完好。</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 xml:space="preserve">4.4.2每月检查试验防火门、防火卷帘门。 </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4.4.4每月检查试验手动按钮启动防火卷帘门。</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4.6应急照明、疏散指示系统</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4.6.1每月检查安全出口疏散指示标志、重要场所的应急照明或疏散指示标志。有损坏情况，应及时修复。</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4.6.2不定期巡查和试验应急照明和疏散指示灯的工作照度和疏散照度，发现故障立即维修，并在24小时内排除故障。</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4.7消防应急广播与通讯系统</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 xml:space="preserve">4.7.1每月检查电话插孔、重要场所的对讲电话、播音设备、扬声器等是否处于正常完好状态。 </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4.7.2每季度检查试验电话插孔和对讲电话的通话质量。</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4.7.3每季度检查试验分层广播。</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4.7.4每季度模拟火警消防广播及电话系统联动功能试验。</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4.8消防系统联动机构</w:t>
      </w:r>
    </w:p>
    <w:p>
      <w:pPr>
        <w:spacing w:line="360" w:lineRule="auto"/>
        <w:rPr>
          <w:rFonts w:hint="eastAsia" w:ascii="宋体" w:hAnsi="宋体"/>
          <w:sz w:val="24"/>
        </w:rPr>
      </w:pPr>
      <w:r>
        <w:rPr>
          <w:rFonts w:hint="eastAsia" w:ascii="宋体" w:hAnsi="宋体"/>
          <w:sz w:val="24"/>
        </w:rPr>
        <w:t>每季度全面测试一次：</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4.8.1联动报警试验。</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4.8.2手动报警器的功能试验。</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4.8.3各联动机构连接消防中心相应控制屏的讯号。</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4.8.4年度模拟火警消防系统联动机构的讯号综合试验。</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4.8.5以上未列的组合及构成部分的功能、讯号。</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4.9气体灭火系统。</w:t>
      </w:r>
    </w:p>
    <w:p>
      <w:pPr>
        <w:spacing w:line="360" w:lineRule="auto"/>
        <w:rPr>
          <w:rFonts w:hint="eastAsia" w:ascii="宋体" w:hAnsi="宋体"/>
          <w:sz w:val="24"/>
        </w:rPr>
      </w:pPr>
      <w:r>
        <w:rPr>
          <w:rFonts w:hint="eastAsia" w:ascii="宋体" w:hAnsi="宋体"/>
          <w:sz w:val="24"/>
        </w:rPr>
        <w:t>每月全面检查一次：</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4.9.1对灭火剂贮存容器、选择阀、液体单向阀、高压软管、阀驱动装置、管网与喷嘴等全部系统组件进行外观检查。系统组件应五碰撞变形及其他机械性损伤，表面应无锈蚀、保护涂层完好、铭牌清晰，手动操作装置的保护罩、铅封和安全标志完好。</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4.9.2灭火剂贮存容器的压力不少于设计贮存压力的90%。</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4.9.3气动驱动装置的气动员的压力不少于设计压力的90%。</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4.9.4消防器材的压力及使用期限符合相关要求。</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5.维保要求：</w:t>
      </w:r>
    </w:p>
    <w:p>
      <w:pPr>
        <w:spacing w:line="360" w:lineRule="auto"/>
        <w:rPr>
          <w:rFonts w:hint="default" w:ascii="宋体" w:hAnsi="宋体" w:eastAsia="宋体"/>
          <w:sz w:val="24"/>
          <w:lang w:val="en-US" w:eastAsia="zh-CN"/>
        </w:rPr>
      </w:pPr>
      <w:r>
        <w:rPr>
          <w:rFonts w:hint="eastAsia" w:ascii="宋体" w:hAnsi="宋体"/>
          <w:sz w:val="24"/>
        </w:rPr>
        <w:t>（1）乙方须在合同签订</w:t>
      </w:r>
      <w:r>
        <w:rPr>
          <w:rFonts w:hint="eastAsia" w:ascii="宋体" w:hAnsi="宋体"/>
          <w:sz w:val="24"/>
          <w:lang w:val="en-US" w:eastAsia="zh-CN"/>
        </w:rPr>
        <w:t>后</w:t>
      </w:r>
      <w:r>
        <w:rPr>
          <w:rFonts w:hint="eastAsia" w:ascii="宋体" w:hAnsi="宋体"/>
          <w:sz w:val="24"/>
        </w:rPr>
        <w:t>一个月内，对</w:t>
      </w:r>
      <w:r>
        <w:rPr>
          <w:rFonts w:hint="eastAsia" w:ascii="宋体" w:hAnsi="宋体"/>
          <w:sz w:val="24"/>
          <w:lang w:val="en-US" w:eastAsia="zh-CN"/>
        </w:rPr>
        <w:t>本</w:t>
      </w:r>
      <w:r>
        <w:rPr>
          <w:rFonts w:hint="eastAsia" w:ascii="宋体" w:hAnsi="宋体"/>
          <w:sz w:val="24"/>
        </w:rPr>
        <w:t>维保项目实施检查、恢复，</w:t>
      </w:r>
      <w:r>
        <w:rPr>
          <w:rFonts w:hint="eastAsia" w:ascii="宋体" w:hAnsi="宋体"/>
          <w:sz w:val="24"/>
          <w:lang w:val="en-US" w:eastAsia="zh-CN"/>
        </w:rPr>
        <w:t>保证</w:t>
      </w:r>
      <w:r>
        <w:rPr>
          <w:rFonts w:hint="eastAsia" w:ascii="宋体" w:hAnsi="宋体"/>
          <w:sz w:val="24"/>
        </w:rPr>
        <w:t>各个系统正常工作</w:t>
      </w:r>
      <w:r>
        <w:rPr>
          <w:rFonts w:hint="eastAsia" w:ascii="宋体" w:hAnsi="宋体"/>
          <w:sz w:val="24"/>
          <w:lang w:eastAsia="zh-CN"/>
        </w:rPr>
        <w:t>（</w:t>
      </w:r>
      <w:r>
        <w:rPr>
          <w:rFonts w:hint="eastAsia" w:ascii="宋体" w:hAnsi="宋体"/>
          <w:sz w:val="24"/>
          <w:lang w:val="en-US" w:eastAsia="zh-CN"/>
        </w:rPr>
        <w:t>此项费用包含在报价中</w:t>
      </w:r>
      <w:r>
        <w:rPr>
          <w:rFonts w:hint="eastAsia" w:ascii="宋体" w:hAnsi="宋体"/>
          <w:sz w:val="24"/>
          <w:lang w:eastAsia="zh-CN"/>
        </w:rPr>
        <w:t>）。</w:t>
      </w:r>
      <w:r>
        <w:rPr>
          <w:rFonts w:hint="eastAsia" w:ascii="宋体" w:hAnsi="宋体"/>
          <w:sz w:val="24"/>
          <w:lang w:val="en-US" w:eastAsia="zh-CN"/>
        </w:rPr>
        <w:t>如经检查存在重要零配件等需要更换的（200元以上的设备或配件材料），由乙方列出清单并经甲方确认后由甲方负责采购，乙方负责安装维修，安装维修费用包含在合同价中，甲方不另行支付此项相关费用。乙方所有更换的配件需为原厂正品配件。</w:t>
      </w:r>
    </w:p>
    <w:p>
      <w:pPr>
        <w:spacing w:line="360" w:lineRule="auto"/>
        <w:rPr>
          <w:rFonts w:hint="eastAsia" w:ascii="宋体" w:hAnsi="宋体"/>
          <w:sz w:val="24"/>
        </w:rPr>
      </w:pPr>
      <w:r>
        <w:rPr>
          <w:rFonts w:hint="eastAsia" w:ascii="宋体" w:hAnsi="宋体"/>
          <w:sz w:val="24"/>
        </w:rPr>
        <w:t>（2）维保人员必须持证上岗，严格按要求进行维保，及时做好维保记录，无条件接受甲方查看，并每月将上月维保记录汇总后报甲方。</w:t>
      </w:r>
    </w:p>
    <w:p>
      <w:pPr>
        <w:spacing w:line="360" w:lineRule="auto"/>
        <w:rPr>
          <w:rFonts w:hint="eastAsia" w:ascii="宋体" w:hAnsi="宋体"/>
          <w:sz w:val="24"/>
        </w:rPr>
      </w:pPr>
      <w:r>
        <w:rPr>
          <w:rFonts w:hint="eastAsia" w:ascii="宋体" w:hAnsi="宋体"/>
          <w:sz w:val="24"/>
        </w:rPr>
        <w:t>（3）对更换下来的配件等应交由采购人保管或由采购人与维保单位共同销毁。</w:t>
      </w:r>
    </w:p>
    <w:p>
      <w:pPr>
        <w:spacing w:line="360" w:lineRule="auto"/>
        <w:rPr>
          <w:rFonts w:hint="eastAsia" w:ascii="宋体" w:hAnsi="宋体"/>
          <w:sz w:val="24"/>
        </w:rPr>
      </w:pPr>
      <w:r>
        <w:rPr>
          <w:rFonts w:hint="eastAsia" w:ascii="宋体" w:hAnsi="宋体"/>
          <w:sz w:val="24"/>
        </w:rPr>
        <w:t>（4）维修保养所需的工器具、配套设施设备、耗材、人工等费用由乙方承担，维保期间需要更换的消防材料、设备、灭火器材、年更换材料设备由甲方承担，乙方将需要更换的配件、设备等统计后报甲方审核，甲方提供器材后乙方在规定期限内更换到位，如甲方不能提供器材，由乙方负责提供符合“4.维保质量要求”的器材按时更换并验收合格，配件费用由甲方按投标文件报价*经验收的工程量另行结算。</w:t>
      </w:r>
    </w:p>
    <w:p>
      <w:pPr>
        <w:spacing w:line="360" w:lineRule="auto"/>
        <w:rPr>
          <w:rFonts w:hint="eastAsia" w:ascii="宋体" w:hAnsi="宋体"/>
          <w:sz w:val="24"/>
        </w:rPr>
      </w:pPr>
      <w:r>
        <w:rPr>
          <w:rFonts w:hint="eastAsia" w:ascii="宋体" w:hAnsi="宋体"/>
          <w:sz w:val="24"/>
        </w:rPr>
        <w:t>（5）乙方须在合同签订一周内制定维修保养方案，呈甲方批准后按方案组织实施。</w:t>
      </w:r>
    </w:p>
    <w:p>
      <w:pPr>
        <w:spacing w:line="360" w:lineRule="auto"/>
        <w:rPr>
          <w:rFonts w:hint="eastAsia" w:ascii="宋体" w:hAnsi="宋体"/>
          <w:sz w:val="24"/>
        </w:rPr>
      </w:pPr>
      <w:r>
        <w:rPr>
          <w:rFonts w:hint="eastAsia" w:ascii="宋体" w:hAnsi="宋体"/>
          <w:sz w:val="24"/>
        </w:rPr>
        <w:t>（6）乙方项目工作人员需遵守相关规定，采用安全合理的工具和方法实施检测及维修，如因乙方违规操作或维修失误造成设备故障及人员伤亡，则应承担全部维修及赔偿责任。</w:t>
      </w:r>
    </w:p>
    <w:p>
      <w:pPr>
        <w:spacing w:line="360" w:lineRule="auto"/>
        <w:rPr>
          <w:rFonts w:hint="eastAsia" w:ascii="宋体" w:hAnsi="宋体"/>
          <w:sz w:val="24"/>
        </w:rPr>
      </w:pPr>
      <w:r>
        <w:rPr>
          <w:rFonts w:hint="eastAsia" w:ascii="宋体" w:hAnsi="宋体"/>
          <w:sz w:val="24"/>
        </w:rPr>
        <w:t>（7）维保工作要做到小修不过夜，大修不能超过三天。</w:t>
      </w:r>
    </w:p>
    <w:p>
      <w:pPr>
        <w:spacing w:line="360" w:lineRule="auto"/>
        <w:rPr>
          <w:rFonts w:hint="eastAsia" w:ascii="宋体" w:hAnsi="宋体"/>
          <w:sz w:val="24"/>
        </w:rPr>
      </w:pPr>
      <w:r>
        <w:rPr>
          <w:rFonts w:hint="eastAsia" w:ascii="宋体" w:hAnsi="宋体"/>
          <w:sz w:val="24"/>
        </w:rPr>
        <w:t>小修范围：报警、联动系统 的线路故障、外设故障，水系统的跑、冒、滴、漏，应急照明和疏散标志等；</w:t>
      </w:r>
    </w:p>
    <w:p>
      <w:pPr>
        <w:spacing w:line="360" w:lineRule="auto"/>
        <w:rPr>
          <w:rFonts w:hint="eastAsia" w:ascii="宋体" w:hAnsi="宋体"/>
          <w:sz w:val="24"/>
        </w:rPr>
      </w:pPr>
      <w:r>
        <w:rPr>
          <w:rFonts w:hint="eastAsia" w:ascii="宋体" w:hAnsi="宋体"/>
          <w:sz w:val="24"/>
        </w:rPr>
        <w:t>大修范围：报警主机故障、水泵故障、风机故障、卷帘故障等根据故障情况，</w:t>
      </w:r>
    </w:p>
    <w:p>
      <w:pPr>
        <w:spacing w:line="360" w:lineRule="auto"/>
        <w:rPr>
          <w:rFonts w:ascii="宋体" w:hAnsi="宋体"/>
          <w:sz w:val="24"/>
        </w:rPr>
      </w:pPr>
      <w:r>
        <w:rPr>
          <w:rFonts w:hint="eastAsia" w:ascii="宋体" w:hAnsi="宋体"/>
          <w:sz w:val="24"/>
        </w:rPr>
        <w:t>（8）故障突击抢修</w:t>
      </w:r>
      <w:r>
        <w:rPr>
          <w:rFonts w:ascii="宋体"/>
          <w:sz w:val="24"/>
        </w:rPr>
        <w:t> </w:t>
      </w:r>
    </w:p>
    <w:p>
      <w:pPr>
        <w:spacing w:line="360" w:lineRule="auto"/>
        <w:rPr>
          <w:rFonts w:hint="eastAsia" w:ascii="宋体" w:hAnsi="宋体"/>
          <w:sz w:val="24"/>
        </w:rPr>
      </w:pPr>
      <w:r>
        <w:rPr>
          <w:rFonts w:hint="eastAsia" w:ascii="宋体" w:hAnsi="宋体"/>
          <w:sz w:val="24"/>
        </w:rPr>
        <w:t>在维保保证期内，为用户提供7*24小时免费服务，乙方接到甲方的故障通知书或电话通知时，应在</w:t>
      </w:r>
      <w:r>
        <w:rPr>
          <w:rFonts w:hint="eastAsia" w:ascii="宋体" w:hAnsi="宋体"/>
          <w:sz w:val="24"/>
          <w:lang w:val="en-US" w:eastAsia="zh-CN"/>
        </w:rPr>
        <w:t>2</w:t>
      </w:r>
      <w:r>
        <w:rPr>
          <w:rFonts w:hint="eastAsia" w:ascii="宋体" w:hAnsi="宋体"/>
          <w:sz w:val="24"/>
        </w:rPr>
        <w:t>小时内立即派员对该故障进行排除。一般故障应该立即排除，严重故障应该在24小时内修复。当需超过2天尚无法修复时，需书面通知甲方工作人员，增加日常管理人员与乙方工作人员一同作好维修期间的安全防范。同时维保方增加技术力量，尽快修复故障。如72小时内不能到位的，甲方有权自行维修或更换配件，其费用在乙方合同余款中扣除。</w:t>
      </w:r>
    </w:p>
    <w:p>
      <w:pPr>
        <w:spacing w:line="360" w:lineRule="auto"/>
        <w:rPr>
          <w:rFonts w:hint="eastAsia" w:ascii="宋体" w:hAnsi="宋体"/>
          <w:sz w:val="24"/>
        </w:rPr>
      </w:pPr>
      <w:r>
        <w:rPr>
          <w:rFonts w:hint="eastAsia" w:ascii="宋体" w:hAnsi="宋体"/>
          <w:b/>
          <w:bCs/>
          <w:sz w:val="24"/>
          <w:lang w:eastAsia="zh-CN"/>
        </w:rPr>
        <w:t>四、</w:t>
      </w:r>
      <w:r>
        <w:rPr>
          <w:rFonts w:hint="eastAsia" w:ascii="宋体" w:hAnsi="宋体"/>
          <w:b/>
          <w:bCs/>
          <w:sz w:val="24"/>
        </w:rPr>
        <w:t>甲乙双方责任</w:t>
      </w:r>
    </w:p>
    <w:p>
      <w:pPr>
        <w:spacing w:line="360" w:lineRule="auto"/>
        <w:rPr>
          <w:rFonts w:hint="eastAsia" w:ascii="宋体" w:hAnsi="宋体"/>
          <w:sz w:val="24"/>
        </w:rPr>
      </w:pPr>
      <w:r>
        <w:rPr>
          <w:rFonts w:hint="eastAsia" w:ascii="宋体" w:hAnsi="宋体"/>
          <w:sz w:val="24"/>
          <w:lang w:val="en-US" w:eastAsia="zh-CN"/>
        </w:rPr>
        <w:t>4</w:t>
      </w:r>
      <w:r>
        <w:rPr>
          <w:rFonts w:hint="eastAsia" w:ascii="宋体" w:hAnsi="宋体"/>
          <w:sz w:val="24"/>
        </w:rPr>
        <w:t>.1乙方责任：</w:t>
      </w:r>
    </w:p>
    <w:p>
      <w:pPr>
        <w:numPr>
          <w:ilvl w:val="0"/>
          <w:numId w:val="2"/>
        </w:numPr>
        <w:spacing w:line="360" w:lineRule="auto"/>
        <w:rPr>
          <w:rFonts w:hint="eastAsia" w:ascii="宋体" w:hAnsi="宋体"/>
          <w:sz w:val="24"/>
        </w:rPr>
      </w:pPr>
      <w:r>
        <w:rPr>
          <w:rFonts w:hint="eastAsia" w:ascii="宋体" w:hAnsi="宋体"/>
          <w:sz w:val="24"/>
        </w:rPr>
        <w:t>自动报警系统按开列的时间排除有专业资格，专业技术人员上门维修保养、检测各项功能，安排作相关的模拟火警启动系统动作试验，以达到消防各项系统功能完善。另安排相关人员进行每月例检巡查。</w:t>
      </w:r>
    </w:p>
    <w:p>
      <w:pPr>
        <w:numPr>
          <w:ilvl w:val="0"/>
          <w:numId w:val="0"/>
        </w:numPr>
        <w:spacing w:line="360" w:lineRule="auto"/>
        <w:rPr>
          <w:rFonts w:hint="eastAsia" w:ascii="宋体" w:hAnsi="宋体"/>
          <w:sz w:val="24"/>
        </w:rPr>
      </w:pPr>
      <w:r>
        <w:rPr>
          <w:rFonts w:hint="eastAsia" w:ascii="宋体" w:hAnsi="宋体"/>
          <w:sz w:val="24"/>
        </w:rPr>
        <w:t>（2）乙方为用户提供7*24小时免费服务，乙方接到甲方的故障通知书或电话通知时，应在</w:t>
      </w:r>
      <w:r>
        <w:rPr>
          <w:rFonts w:hint="eastAsia" w:ascii="宋体" w:hAnsi="宋体"/>
          <w:sz w:val="24"/>
          <w:lang w:val="en-US" w:eastAsia="zh-CN"/>
        </w:rPr>
        <w:t>2</w:t>
      </w:r>
      <w:r>
        <w:rPr>
          <w:rFonts w:hint="eastAsia" w:ascii="宋体" w:hAnsi="宋体"/>
          <w:sz w:val="24"/>
        </w:rPr>
        <w:t>小时内立即派员对该故障进行排除。一般故障应该立即排除，严重故障应该在24小时内修复。当需超过2天尚无法修复时，需书面通知甲方工作人员，增加日常管理人员与乙方工作人员一同作好维修期间的安全防范。同时乙方增加技术力量，尽快修复故障。</w:t>
      </w:r>
    </w:p>
    <w:p>
      <w:pPr>
        <w:spacing w:line="360" w:lineRule="auto"/>
        <w:rPr>
          <w:rFonts w:hint="eastAsia" w:ascii="宋体" w:hAnsi="宋体"/>
          <w:sz w:val="24"/>
        </w:rPr>
      </w:pPr>
      <w:r>
        <w:rPr>
          <w:rFonts w:hint="eastAsia" w:ascii="宋体" w:hAnsi="宋体"/>
          <w:sz w:val="24"/>
        </w:rPr>
        <w:t>（3）每次检测或抽查中，如发现各系统有设备、材料损坏，应及时通知甲方损坏的设备、材料，并主动书面申报设备、材料购置费用清单，待甲方批复后及时安装。</w:t>
      </w:r>
    </w:p>
    <w:p>
      <w:pPr>
        <w:spacing w:line="360" w:lineRule="auto"/>
        <w:rPr>
          <w:rFonts w:hint="eastAsia" w:ascii="宋体" w:hAnsi="宋体"/>
          <w:sz w:val="24"/>
        </w:rPr>
      </w:pPr>
      <w:r>
        <w:rPr>
          <w:rFonts w:hint="eastAsia" w:ascii="宋体" w:hAnsi="宋体"/>
          <w:sz w:val="24"/>
        </w:rPr>
        <w:t>（4）乙方必须确保甲方委托维修保养的消防系统设备在保养期内正常运行。</w:t>
      </w:r>
    </w:p>
    <w:p>
      <w:pPr>
        <w:spacing w:line="360" w:lineRule="auto"/>
        <w:rPr>
          <w:rFonts w:hint="eastAsia" w:ascii="宋体" w:hAnsi="宋体"/>
          <w:sz w:val="24"/>
        </w:rPr>
      </w:pPr>
      <w:r>
        <w:rPr>
          <w:rFonts w:hint="eastAsia" w:ascii="宋体" w:hAnsi="宋体"/>
          <w:sz w:val="24"/>
        </w:rPr>
        <w:t>（5）乙方委派</w:t>
      </w:r>
      <w:r>
        <w:rPr>
          <w:rFonts w:hint="eastAsia" w:ascii="宋体" w:hAnsi="宋体"/>
          <w:sz w:val="24"/>
          <w:u w:val="single"/>
        </w:rPr>
        <w:t xml:space="preserve">         </w:t>
      </w:r>
      <w:r>
        <w:rPr>
          <w:rFonts w:hint="eastAsia" w:ascii="宋体" w:hAnsi="宋体"/>
          <w:sz w:val="24"/>
        </w:rPr>
        <w:t>（姓名）作为消防维保的日常巡检人员，联系电话：</w:t>
      </w:r>
      <w:r>
        <w:rPr>
          <w:rFonts w:hint="eastAsia" w:ascii="宋体" w:hAnsi="宋体"/>
          <w:sz w:val="24"/>
          <w:u w:val="single"/>
        </w:rPr>
        <w:t xml:space="preserve">                </w:t>
      </w:r>
      <w:r>
        <w:rPr>
          <w:rFonts w:hint="eastAsia" w:ascii="宋体" w:hAnsi="宋体"/>
          <w:sz w:val="24"/>
        </w:rPr>
        <w:t>。</w:t>
      </w:r>
    </w:p>
    <w:p>
      <w:pPr>
        <w:spacing w:line="360" w:lineRule="auto"/>
        <w:rPr>
          <w:rFonts w:hint="eastAsia" w:ascii="宋体" w:hAnsi="宋体"/>
          <w:sz w:val="24"/>
        </w:rPr>
      </w:pPr>
      <w:r>
        <w:rPr>
          <w:rFonts w:hint="eastAsia" w:ascii="宋体" w:hAnsi="宋体"/>
          <w:sz w:val="24"/>
          <w:lang w:val="en-US" w:eastAsia="zh-CN"/>
        </w:rPr>
        <w:t>4</w:t>
      </w:r>
      <w:r>
        <w:rPr>
          <w:rFonts w:hint="eastAsia" w:ascii="宋体" w:hAnsi="宋体"/>
          <w:sz w:val="24"/>
        </w:rPr>
        <w:t>.2甲方责任：</w:t>
      </w:r>
    </w:p>
    <w:p>
      <w:pPr>
        <w:spacing w:line="360" w:lineRule="auto"/>
        <w:rPr>
          <w:rFonts w:hint="eastAsia" w:ascii="宋体" w:hAnsi="宋体"/>
          <w:sz w:val="24"/>
        </w:rPr>
      </w:pPr>
      <w:r>
        <w:rPr>
          <w:rFonts w:hint="eastAsia" w:ascii="宋体" w:hAnsi="宋体"/>
          <w:sz w:val="24"/>
        </w:rPr>
        <w:t>（1）派出相关人员对维保进度、质量进行监督检查，负责协调维修保养现场的有关事宜。</w:t>
      </w:r>
    </w:p>
    <w:p>
      <w:pPr>
        <w:spacing w:line="360" w:lineRule="auto"/>
        <w:rPr>
          <w:rFonts w:hint="eastAsia" w:ascii="宋体" w:hAnsi="宋体"/>
          <w:sz w:val="24"/>
        </w:rPr>
      </w:pPr>
      <w:r>
        <w:rPr>
          <w:rFonts w:hint="eastAsia" w:ascii="宋体" w:hAnsi="宋体"/>
          <w:sz w:val="24"/>
        </w:rPr>
        <w:t>（2）负责提供维修保养场地，无偿提供维修保养用水、用电。</w:t>
      </w:r>
    </w:p>
    <w:p>
      <w:pPr>
        <w:spacing w:line="360" w:lineRule="auto"/>
        <w:rPr>
          <w:rFonts w:hint="eastAsia" w:ascii="宋体" w:hAnsi="宋体"/>
          <w:sz w:val="24"/>
        </w:rPr>
      </w:pPr>
      <w:r>
        <w:rPr>
          <w:rFonts w:hint="eastAsia" w:ascii="宋体" w:hAnsi="宋体"/>
          <w:sz w:val="24"/>
        </w:rPr>
        <w:t>（3）向乙方提供相关的消防系统设备资料、图纸等，并派出相关人员配合好乙方维保工作。</w:t>
      </w:r>
    </w:p>
    <w:p>
      <w:pPr>
        <w:spacing w:line="360" w:lineRule="auto"/>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）负责对乙方维保工作进行考核，如考核不通过，视考核情况进行相应经济处罚，直至扣除全部合同价款。甲方保留调整部分工程量的权利。</w:t>
      </w:r>
    </w:p>
    <w:p>
      <w:pPr>
        <w:pStyle w:val="20"/>
        <w:snapToGrid w:val="0"/>
        <w:spacing w:before="120" w:after="120" w:line="500" w:lineRule="exact"/>
        <w:ind w:left="410" w:hanging="410" w:hangingChars="170"/>
        <w:rPr>
          <w:rFonts w:hAnsi="宋体"/>
          <w:b/>
          <w:color w:val="000000" w:themeColor="text1"/>
          <w:sz w:val="24"/>
          <w:szCs w:val="24"/>
          <w14:textFill>
            <w14:solidFill>
              <w14:schemeClr w14:val="tx1"/>
            </w14:solidFill>
          </w14:textFill>
        </w:rPr>
      </w:pPr>
      <w:r>
        <w:rPr>
          <w:rFonts w:hint="eastAsia" w:hAnsi="宋体"/>
          <w:b/>
          <w:color w:val="000000" w:themeColor="text1"/>
          <w:sz w:val="24"/>
          <w:szCs w:val="24"/>
          <w:lang w:eastAsia="zh-CN"/>
          <w14:textFill>
            <w14:solidFill>
              <w14:schemeClr w14:val="tx1"/>
            </w14:solidFill>
          </w14:textFill>
        </w:rPr>
        <w:t>五</w:t>
      </w:r>
      <w:r>
        <w:rPr>
          <w:rFonts w:hint="eastAsia" w:hAnsi="宋体"/>
          <w:b/>
          <w:color w:val="000000" w:themeColor="text1"/>
          <w:sz w:val="24"/>
          <w:szCs w:val="24"/>
          <w14:textFill>
            <w14:solidFill>
              <w14:schemeClr w14:val="tx1"/>
            </w14:solidFill>
          </w14:textFill>
        </w:rPr>
        <w:t>、履约保证金</w:t>
      </w:r>
    </w:p>
    <w:p>
      <w:pPr>
        <w:pStyle w:val="20"/>
        <w:snapToGrid w:val="0"/>
        <w:spacing w:before="120" w:after="120" w:line="50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lang w:val="en-US" w:eastAsia="zh-CN"/>
          <w14:textFill>
            <w14:solidFill>
              <w14:schemeClr w14:val="tx1"/>
            </w14:solidFill>
          </w14:textFill>
        </w:rPr>
        <w:t>5</w:t>
      </w: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乙方交纳人民币（大写）</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元整</w:t>
      </w:r>
      <w:r>
        <w:rPr>
          <w:rFonts w:hint="eastAsia" w:ascii="新宋体" w:hAnsi="新宋体" w:eastAsia="新宋体"/>
          <w:sz w:val="24"/>
        </w:rPr>
        <w:t>（￥</w:t>
      </w:r>
      <w:r>
        <w:rPr>
          <w:rFonts w:hint="eastAsia" w:ascii="新宋体" w:hAnsi="新宋体" w:eastAsia="新宋体"/>
          <w:sz w:val="24"/>
          <w:u w:val="single"/>
        </w:rPr>
        <w:t xml:space="preserve">     </w:t>
      </w:r>
      <w:r>
        <w:rPr>
          <w:rFonts w:hint="eastAsia" w:ascii="新宋体" w:hAnsi="新宋体" w:eastAsia="新宋体"/>
          <w:sz w:val="24"/>
        </w:rPr>
        <w:t>元）</w:t>
      </w:r>
      <w:r>
        <w:rPr>
          <w:rFonts w:hint="eastAsia" w:hAnsi="宋体"/>
          <w:color w:val="000000" w:themeColor="text1"/>
          <w:sz w:val="24"/>
          <w:szCs w:val="24"/>
          <w14:textFill>
            <w14:solidFill>
              <w14:schemeClr w14:val="tx1"/>
            </w14:solidFill>
          </w14:textFill>
        </w:rPr>
        <w:t>作为本合同的履约保证金（合同金额的</w:t>
      </w:r>
      <w:r>
        <w:rPr>
          <w:rFonts w:hint="eastAsia" w:hAnsi="宋体"/>
          <w:color w:val="000000" w:themeColor="text1"/>
          <w:sz w:val="24"/>
          <w:szCs w:val="24"/>
          <w:lang w:val="en-US" w:eastAsia="zh-CN"/>
          <w14:textFill>
            <w14:solidFill>
              <w14:schemeClr w14:val="tx1"/>
            </w14:solidFill>
          </w14:textFill>
        </w:rPr>
        <w:t>5</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w:t>
      </w:r>
    </w:p>
    <w:p>
      <w:pPr>
        <w:snapToGrid w:val="0"/>
        <w:spacing w:beforeLines="50" w:afterLines="50" w:line="500" w:lineRule="exact"/>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lang w:eastAsia="zh-CN"/>
          <w14:textFill>
            <w14:solidFill>
              <w14:schemeClr w14:val="tx1"/>
            </w14:solidFill>
          </w14:textFill>
        </w:rPr>
        <w:t>六</w:t>
      </w:r>
      <w:r>
        <w:rPr>
          <w:rFonts w:hint="eastAsia" w:ascii="宋体" w:hAnsi="宋体"/>
          <w:b/>
          <w:color w:val="000000" w:themeColor="text1"/>
          <w:sz w:val="24"/>
          <w:szCs w:val="24"/>
          <w14:textFill>
            <w14:solidFill>
              <w14:schemeClr w14:val="tx1"/>
            </w14:solidFill>
          </w14:textFill>
        </w:rPr>
        <w:t>、转包或分包</w:t>
      </w:r>
    </w:p>
    <w:p>
      <w:pPr>
        <w:snapToGrid w:val="0"/>
        <w:spacing w:beforeLines="50" w:afterLines="50" w:line="500" w:lineRule="exact"/>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6</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本合同范围的货物，应由乙方直接供应，不得转让他人供应；</w:t>
      </w:r>
    </w:p>
    <w:p>
      <w:pPr>
        <w:snapToGrid w:val="0"/>
        <w:spacing w:beforeLines="50" w:afterLines="50" w:line="500" w:lineRule="exact"/>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6</w:t>
      </w:r>
      <w:r>
        <w:rPr>
          <w:rFonts w:ascii="宋体" w:hAnsi="宋体"/>
          <w:color w:val="000000" w:themeColor="text1"/>
          <w:sz w:val="24"/>
          <w:szCs w:val="24"/>
          <w14:textFill>
            <w14:solidFill>
              <w14:schemeClr w14:val="tx1"/>
            </w14:solidFill>
          </w14:textFill>
        </w:rPr>
        <w:t xml:space="preserve">.2 </w:t>
      </w:r>
      <w:r>
        <w:rPr>
          <w:rFonts w:hint="eastAsia" w:ascii="宋体" w:hAnsi="宋体"/>
          <w:color w:val="000000" w:themeColor="text1"/>
          <w:sz w:val="24"/>
          <w:szCs w:val="24"/>
          <w14:textFill>
            <w14:solidFill>
              <w14:schemeClr w14:val="tx1"/>
            </w14:solidFill>
          </w14:textFill>
        </w:rPr>
        <w:t>除非得到甲方的书面同意，乙方不得部分分包给他人供应。</w:t>
      </w:r>
    </w:p>
    <w:p>
      <w:pPr>
        <w:snapToGrid w:val="0"/>
        <w:spacing w:beforeLines="50" w:afterLines="50" w:line="500" w:lineRule="exact"/>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6</w:t>
      </w: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如有转让和未经甲方同意的分包行为，甲方有权给予终止合同。</w:t>
      </w:r>
    </w:p>
    <w:p>
      <w:pPr>
        <w:pStyle w:val="20"/>
        <w:snapToGrid w:val="0"/>
        <w:spacing w:before="120" w:after="120" w:line="500" w:lineRule="exact"/>
        <w:rPr>
          <w:rFonts w:hAnsi="宋体"/>
          <w:b/>
          <w:color w:val="000000" w:themeColor="text1"/>
          <w:sz w:val="24"/>
          <w:szCs w:val="24"/>
          <w14:textFill>
            <w14:solidFill>
              <w14:schemeClr w14:val="tx1"/>
            </w14:solidFill>
          </w14:textFill>
        </w:rPr>
      </w:pPr>
      <w:r>
        <w:rPr>
          <w:rFonts w:hint="eastAsia" w:hAnsi="宋体"/>
          <w:b/>
          <w:color w:val="000000" w:themeColor="text1"/>
          <w:sz w:val="24"/>
          <w:szCs w:val="24"/>
          <w:lang w:eastAsia="zh-CN"/>
          <w14:textFill>
            <w14:solidFill>
              <w14:schemeClr w14:val="tx1"/>
            </w14:solidFill>
          </w14:textFill>
        </w:rPr>
        <w:t>七</w:t>
      </w:r>
      <w:r>
        <w:rPr>
          <w:rFonts w:hint="eastAsia" w:hAnsi="宋体"/>
          <w:b/>
          <w:color w:val="000000" w:themeColor="text1"/>
          <w:sz w:val="24"/>
          <w:szCs w:val="24"/>
          <w14:textFill>
            <w14:solidFill>
              <w14:schemeClr w14:val="tx1"/>
            </w14:solidFill>
          </w14:textFill>
        </w:rPr>
        <w:t>、货款支付</w:t>
      </w:r>
    </w:p>
    <w:p>
      <w:pPr>
        <w:spacing w:line="360" w:lineRule="auto"/>
        <w:rPr>
          <w:rFonts w:hint="eastAsia" w:ascii="宋体" w:hAnsi="宋体"/>
          <w:sz w:val="24"/>
          <w:u w:val="single"/>
        </w:rPr>
      </w:pPr>
      <w:r>
        <w:rPr>
          <w:rFonts w:hint="eastAsia" w:hAnsi="宋体"/>
          <w:bCs/>
          <w:color w:val="000000" w:themeColor="text1"/>
          <w:sz w:val="24"/>
          <w:szCs w:val="24"/>
          <w:lang w:val="en-US" w:eastAsia="zh-CN"/>
          <w14:textFill>
            <w14:solidFill>
              <w14:schemeClr w14:val="tx1"/>
            </w14:solidFill>
          </w14:textFill>
        </w:rPr>
        <w:t>7</w:t>
      </w:r>
      <w:r>
        <w:rPr>
          <w:rFonts w:hAnsi="宋体"/>
          <w:bCs/>
          <w:color w:val="000000" w:themeColor="text1"/>
          <w:sz w:val="24"/>
          <w:szCs w:val="24"/>
          <w14:textFill>
            <w14:solidFill>
              <w14:schemeClr w14:val="tx1"/>
            </w14:solidFill>
          </w14:textFill>
        </w:rPr>
        <w:t xml:space="preserve">.1 </w:t>
      </w:r>
      <w:r>
        <w:rPr>
          <w:rFonts w:hint="eastAsia" w:hAnsi="宋体"/>
          <w:bCs/>
          <w:color w:val="000000" w:themeColor="text1"/>
          <w:sz w:val="24"/>
          <w:szCs w:val="24"/>
          <w14:textFill>
            <w14:solidFill>
              <w14:schemeClr w14:val="tx1"/>
            </w14:solidFill>
          </w14:textFill>
        </w:rPr>
        <w:t>付款方式：</w:t>
      </w:r>
      <w:r>
        <w:rPr>
          <w:rFonts w:hint="eastAsia" w:ascii="宋体" w:hAnsi="宋体"/>
          <w:sz w:val="24"/>
          <w:u w:val="single"/>
        </w:rPr>
        <w:t>每年度服务期满经甲方及相关部门考核验收合格后支付</w:t>
      </w:r>
      <w:r>
        <w:rPr>
          <w:rFonts w:hint="eastAsia" w:ascii="宋体" w:hAnsi="宋体"/>
          <w:sz w:val="24"/>
          <w:u w:val="single"/>
          <w:lang w:eastAsia="zh-CN"/>
        </w:rPr>
        <w:t>二</w:t>
      </w:r>
      <w:r>
        <w:rPr>
          <w:rFonts w:hint="eastAsia" w:ascii="宋体" w:hAnsi="宋体"/>
          <w:sz w:val="24"/>
          <w:u w:val="single"/>
        </w:rPr>
        <w:t>分之一合同价款。每次付款需提供</w:t>
      </w:r>
      <w:r>
        <w:rPr>
          <w:rFonts w:hint="eastAsia" w:ascii="宋体" w:hAnsi="宋体"/>
          <w:sz w:val="24"/>
          <w:u w:val="single"/>
          <w:lang w:eastAsia="zh-CN"/>
        </w:rPr>
        <w:t>相应</w:t>
      </w:r>
      <w:r>
        <w:rPr>
          <w:rFonts w:hint="eastAsia" w:ascii="宋体" w:hAnsi="宋体"/>
          <w:sz w:val="24"/>
          <w:u w:val="single"/>
        </w:rPr>
        <w:t>增值税发票及相应金额的财务收据。</w:t>
      </w:r>
    </w:p>
    <w:p>
      <w:pPr>
        <w:snapToGrid w:val="0"/>
        <w:spacing w:beforeLines="50" w:afterLines="50" w:line="500" w:lineRule="exact"/>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lang w:eastAsia="zh-CN"/>
          <w14:textFill>
            <w14:solidFill>
              <w14:schemeClr w14:val="tx1"/>
            </w14:solidFill>
          </w14:textFill>
        </w:rPr>
        <w:t>八</w:t>
      </w:r>
      <w:r>
        <w:rPr>
          <w:rFonts w:hint="eastAsia" w:ascii="宋体" w:hAnsi="宋体"/>
          <w:b/>
          <w:color w:val="000000" w:themeColor="text1"/>
          <w:sz w:val="24"/>
          <w:szCs w:val="24"/>
          <w14:textFill>
            <w14:solidFill>
              <w14:schemeClr w14:val="tx1"/>
            </w14:solidFill>
          </w14:textFill>
        </w:rPr>
        <w:t>、税费</w:t>
      </w:r>
    </w:p>
    <w:p>
      <w:pPr>
        <w:snapToGrid w:val="0"/>
        <w:spacing w:beforeLines="50" w:afterLines="50" w:line="500" w:lineRule="exact"/>
        <w:rPr>
          <w:rFonts w:hAnsi="宋体"/>
          <w:b/>
          <w:color w:val="FF0000"/>
          <w:sz w:val="24"/>
          <w:szCs w:val="24"/>
          <w:u w:val="single"/>
        </w:rPr>
      </w:pPr>
      <w:r>
        <w:rPr>
          <w:rFonts w:hint="eastAsia" w:ascii="宋体" w:hAnsi="宋体"/>
          <w:color w:val="000000" w:themeColor="text1"/>
          <w:sz w:val="24"/>
          <w:szCs w:val="24"/>
          <w:lang w:val="en-US" w:eastAsia="zh-CN"/>
          <w14:textFill>
            <w14:solidFill>
              <w14:schemeClr w14:val="tx1"/>
            </w14:solidFill>
          </w14:textFill>
        </w:rPr>
        <w:t>8</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本合同执行中相关的一切税费均由乙方负担。</w:t>
      </w:r>
    </w:p>
    <w:p>
      <w:pPr>
        <w:pStyle w:val="20"/>
        <w:snapToGrid w:val="0"/>
        <w:spacing w:before="120" w:after="120" w:line="500" w:lineRule="exact"/>
        <w:rPr>
          <w:rFonts w:hAnsi="宋体"/>
          <w:b/>
          <w:color w:val="000000" w:themeColor="text1"/>
          <w:sz w:val="24"/>
          <w:szCs w:val="24"/>
          <w14:textFill>
            <w14:solidFill>
              <w14:schemeClr w14:val="tx1"/>
            </w14:solidFill>
          </w14:textFill>
        </w:rPr>
      </w:pPr>
      <w:r>
        <w:rPr>
          <w:rFonts w:hint="eastAsia" w:hAnsi="宋体"/>
          <w:b/>
          <w:color w:val="000000" w:themeColor="text1"/>
          <w:sz w:val="24"/>
          <w:szCs w:val="24"/>
          <w:lang w:eastAsia="zh-CN"/>
          <w14:textFill>
            <w14:solidFill>
              <w14:schemeClr w14:val="tx1"/>
            </w14:solidFill>
          </w14:textFill>
        </w:rPr>
        <w:t>九</w:t>
      </w:r>
      <w:r>
        <w:rPr>
          <w:rFonts w:hint="eastAsia" w:hAnsi="宋体"/>
          <w:b/>
          <w:color w:val="000000" w:themeColor="text1"/>
          <w:sz w:val="24"/>
          <w:szCs w:val="24"/>
          <w14:textFill>
            <w14:solidFill>
              <w14:schemeClr w14:val="tx1"/>
            </w14:solidFill>
          </w14:textFill>
        </w:rPr>
        <w:t>、违约责任</w:t>
      </w:r>
    </w:p>
    <w:p>
      <w:pPr>
        <w:spacing w:line="360" w:lineRule="auto"/>
        <w:rPr>
          <w:rFonts w:hint="eastAsia" w:ascii="宋体" w:hAnsi="宋体"/>
          <w:sz w:val="24"/>
        </w:rPr>
      </w:pPr>
      <w:r>
        <w:rPr>
          <w:rFonts w:hint="eastAsia" w:ascii="宋体" w:hAnsi="宋体"/>
          <w:sz w:val="24"/>
          <w:lang w:val="en-US" w:eastAsia="zh-CN"/>
        </w:rPr>
        <w:t>9.</w:t>
      </w:r>
      <w:r>
        <w:rPr>
          <w:rFonts w:hint="eastAsia" w:ascii="宋体" w:hAnsi="宋体"/>
          <w:sz w:val="24"/>
        </w:rPr>
        <w:t>1甲方不按合同规定付清货款，将按银行同期利率加倍罚息。</w:t>
      </w:r>
    </w:p>
    <w:p>
      <w:pPr>
        <w:spacing w:line="360" w:lineRule="auto"/>
        <w:rPr>
          <w:rFonts w:hint="eastAsia" w:ascii="宋体" w:hAnsi="宋体"/>
          <w:sz w:val="24"/>
        </w:rPr>
      </w:pPr>
      <w:r>
        <w:rPr>
          <w:rFonts w:hint="eastAsia" w:ascii="宋体" w:hAnsi="宋体"/>
          <w:sz w:val="24"/>
          <w:lang w:val="en-US" w:eastAsia="zh-CN"/>
        </w:rPr>
        <w:t>9.</w:t>
      </w:r>
      <w:r>
        <w:rPr>
          <w:rFonts w:hint="eastAsia" w:ascii="宋体" w:hAnsi="宋体"/>
          <w:sz w:val="24"/>
        </w:rPr>
        <w:t>2.乙方发生不服从甲方管理、服务不到位或消极服务的情况，影响正常运行，造成较大不良影响的，甲方有权立即解除合同并追索合同总价20%的违约金。</w:t>
      </w:r>
    </w:p>
    <w:p>
      <w:pPr>
        <w:spacing w:line="360" w:lineRule="auto"/>
        <w:rPr>
          <w:rFonts w:hint="eastAsia" w:ascii="宋体" w:hAnsi="宋体"/>
          <w:sz w:val="24"/>
        </w:rPr>
      </w:pPr>
      <w:r>
        <w:rPr>
          <w:rFonts w:hint="eastAsia" w:ascii="宋体" w:hAnsi="宋体"/>
          <w:sz w:val="24"/>
          <w:lang w:val="en-US" w:eastAsia="zh-CN"/>
        </w:rPr>
        <w:t>9.</w:t>
      </w:r>
      <w:r>
        <w:rPr>
          <w:rFonts w:hint="eastAsia" w:ascii="宋体" w:hAnsi="宋体"/>
          <w:sz w:val="24"/>
        </w:rPr>
        <w:t>3乙方发生以下情况，甲方有权拒绝支付全部或部分维保款。</w:t>
      </w:r>
    </w:p>
    <w:p>
      <w:pPr>
        <w:spacing w:line="360" w:lineRule="auto"/>
        <w:rPr>
          <w:rFonts w:hint="eastAsia" w:ascii="宋体" w:hAnsi="宋体"/>
          <w:sz w:val="24"/>
        </w:rPr>
      </w:pPr>
      <w:r>
        <w:rPr>
          <w:rFonts w:hint="eastAsia" w:ascii="宋体" w:hAnsi="宋体"/>
          <w:sz w:val="24"/>
        </w:rPr>
        <w:t>1）未按照甲方审核通过的维保方案维保、维保不到位、维保项目遗漏；</w:t>
      </w:r>
    </w:p>
    <w:p>
      <w:pPr>
        <w:spacing w:line="360" w:lineRule="auto"/>
        <w:rPr>
          <w:rFonts w:hint="eastAsia" w:ascii="宋体" w:hAnsi="宋体"/>
          <w:sz w:val="24"/>
        </w:rPr>
      </w:pPr>
      <w:r>
        <w:rPr>
          <w:rFonts w:hint="eastAsia" w:ascii="宋体" w:hAnsi="宋体"/>
          <w:sz w:val="24"/>
        </w:rPr>
        <w:t>2）不服从甲方的管理或违反</w:t>
      </w:r>
      <w:r>
        <w:rPr>
          <w:rFonts w:hint="eastAsia" w:ascii="宋体" w:hAnsi="宋体"/>
          <w:sz w:val="24"/>
          <w:lang w:eastAsia="zh-CN"/>
        </w:rPr>
        <w:t>服务单位</w:t>
      </w:r>
      <w:r>
        <w:rPr>
          <w:rFonts w:hint="eastAsia" w:ascii="宋体" w:hAnsi="宋体"/>
          <w:sz w:val="24"/>
        </w:rPr>
        <w:t>相关制度；</w:t>
      </w:r>
    </w:p>
    <w:p>
      <w:pPr>
        <w:spacing w:line="360" w:lineRule="auto"/>
        <w:rPr>
          <w:rFonts w:hint="eastAsia" w:ascii="宋体" w:hAnsi="宋体"/>
          <w:sz w:val="24"/>
        </w:rPr>
      </w:pPr>
      <w:r>
        <w:rPr>
          <w:rFonts w:hint="eastAsia" w:ascii="宋体" w:hAnsi="宋体"/>
          <w:sz w:val="24"/>
        </w:rPr>
        <w:t>3）维保维修不及时、偷工减料或以次充好等情况;</w:t>
      </w:r>
    </w:p>
    <w:p>
      <w:pPr>
        <w:spacing w:line="360" w:lineRule="auto"/>
        <w:rPr>
          <w:rFonts w:hint="eastAsia" w:ascii="宋体" w:hAnsi="宋体"/>
          <w:sz w:val="24"/>
        </w:rPr>
      </w:pPr>
      <w:r>
        <w:rPr>
          <w:rFonts w:hint="eastAsia" w:ascii="宋体" w:hAnsi="宋体"/>
          <w:sz w:val="24"/>
        </w:rPr>
        <w:t>4）维保人员配备不足；</w:t>
      </w:r>
    </w:p>
    <w:p>
      <w:pPr>
        <w:spacing w:line="360" w:lineRule="auto"/>
        <w:rPr>
          <w:rFonts w:hint="eastAsia" w:ascii="宋体" w:hAnsi="宋体"/>
          <w:sz w:val="24"/>
        </w:rPr>
      </w:pPr>
      <w:r>
        <w:rPr>
          <w:rFonts w:hint="eastAsia" w:ascii="宋体" w:hAnsi="宋体"/>
          <w:sz w:val="24"/>
        </w:rPr>
        <w:t>5）其他影响消防维保的事宜。</w:t>
      </w:r>
    </w:p>
    <w:p>
      <w:pPr>
        <w:pStyle w:val="20"/>
        <w:snapToGrid w:val="0"/>
        <w:spacing w:before="120" w:after="120" w:line="500" w:lineRule="exact"/>
        <w:rPr>
          <w:rFonts w:hAnsi="宋体"/>
          <w:b/>
          <w:color w:val="000000" w:themeColor="text1"/>
          <w:sz w:val="24"/>
          <w:szCs w:val="24"/>
          <w14:textFill>
            <w14:solidFill>
              <w14:schemeClr w14:val="tx1"/>
            </w14:solidFill>
          </w14:textFill>
        </w:rPr>
      </w:pPr>
      <w:r>
        <w:rPr>
          <w:rFonts w:hint="eastAsia" w:hAnsi="宋体"/>
          <w:b/>
          <w:color w:val="000000" w:themeColor="text1"/>
          <w:sz w:val="24"/>
          <w:szCs w:val="24"/>
          <w:lang w:eastAsia="zh-CN"/>
          <w14:textFill>
            <w14:solidFill>
              <w14:schemeClr w14:val="tx1"/>
            </w14:solidFill>
          </w14:textFill>
        </w:rPr>
        <w:t>十</w:t>
      </w:r>
      <w:r>
        <w:rPr>
          <w:rFonts w:hint="eastAsia" w:hAnsi="宋体"/>
          <w:b/>
          <w:color w:val="000000" w:themeColor="text1"/>
          <w:sz w:val="24"/>
          <w:szCs w:val="24"/>
          <w14:textFill>
            <w14:solidFill>
              <w14:schemeClr w14:val="tx1"/>
            </w14:solidFill>
          </w14:textFill>
        </w:rPr>
        <w:t>、不可抗力事件处理</w:t>
      </w:r>
    </w:p>
    <w:p>
      <w:pPr>
        <w:pStyle w:val="20"/>
        <w:snapToGrid w:val="0"/>
        <w:spacing w:before="120" w:after="120" w:line="500" w:lineRule="exact"/>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lang w:val="en-US" w:eastAsia="zh-CN"/>
          <w14:textFill>
            <w14:solidFill>
              <w14:schemeClr w14:val="tx1"/>
            </w14:solidFill>
          </w14:textFill>
        </w:rPr>
        <w:t>0</w:t>
      </w:r>
      <w:r>
        <w:rPr>
          <w:rFonts w:hAnsi="宋体"/>
          <w:color w:val="000000" w:themeColor="text1"/>
          <w:sz w:val="24"/>
          <w:szCs w:val="24"/>
          <w14:textFill>
            <w14:solidFill>
              <w14:schemeClr w14:val="tx1"/>
            </w14:solidFill>
          </w14:textFill>
        </w:rPr>
        <w:t xml:space="preserve">.1 </w:t>
      </w:r>
      <w:r>
        <w:rPr>
          <w:rFonts w:hint="eastAsia" w:hAnsi="宋体"/>
          <w:color w:val="000000" w:themeColor="text1"/>
          <w:sz w:val="24"/>
          <w:szCs w:val="24"/>
          <w14:textFill>
            <w14:solidFill>
              <w14:schemeClr w14:val="tx1"/>
            </w14:solidFill>
          </w14:textFill>
        </w:rPr>
        <w:t>在合同有效期内，任何一方因不可抗力事件导致不能履行合同，则合同履行期可延长，其延长期与不可抗力影响期相同。</w:t>
      </w:r>
    </w:p>
    <w:p>
      <w:pPr>
        <w:pStyle w:val="20"/>
        <w:snapToGrid w:val="0"/>
        <w:spacing w:before="120" w:after="120" w:line="500" w:lineRule="exact"/>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lang w:val="en-US" w:eastAsia="zh-CN"/>
          <w14:textFill>
            <w14:solidFill>
              <w14:schemeClr w14:val="tx1"/>
            </w14:solidFill>
          </w14:textFill>
        </w:rPr>
        <w:t>0</w:t>
      </w:r>
      <w:r>
        <w:rPr>
          <w:rFonts w:hAnsi="宋体"/>
          <w:color w:val="000000" w:themeColor="text1"/>
          <w:sz w:val="24"/>
          <w:szCs w:val="24"/>
          <w14:textFill>
            <w14:solidFill>
              <w14:schemeClr w14:val="tx1"/>
            </w14:solidFill>
          </w14:textFill>
        </w:rPr>
        <w:t xml:space="preserve">.2 </w:t>
      </w:r>
      <w:r>
        <w:rPr>
          <w:rFonts w:hint="eastAsia" w:hAnsi="宋体"/>
          <w:color w:val="000000" w:themeColor="text1"/>
          <w:sz w:val="24"/>
          <w:szCs w:val="24"/>
          <w14:textFill>
            <w14:solidFill>
              <w14:schemeClr w14:val="tx1"/>
            </w14:solidFill>
          </w14:textFill>
        </w:rPr>
        <w:t>不可抗力事件发生后，应立即通知对方，并寄送有关权威机构出具的证明。</w:t>
      </w:r>
    </w:p>
    <w:p>
      <w:pPr>
        <w:pStyle w:val="20"/>
        <w:snapToGrid w:val="0"/>
        <w:spacing w:before="120" w:after="120" w:line="500" w:lineRule="exact"/>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lang w:val="en-US" w:eastAsia="zh-CN"/>
          <w14:textFill>
            <w14:solidFill>
              <w14:schemeClr w14:val="tx1"/>
            </w14:solidFill>
          </w14:textFill>
        </w:rPr>
        <w:t>0</w:t>
      </w:r>
      <w:r>
        <w:rPr>
          <w:rFonts w:hAnsi="宋体"/>
          <w:color w:val="000000" w:themeColor="text1"/>
          <w:sz w:val="24"/>
          <w:szCs w:val="24"/>
          <w14:textFill>
            <w14:solidFill>
              <w14:schemeClr w14:val="tx1"/>
            </w14:solidFill>
          </w14:textFill>
        </w:rPr>
        <w:t xml:space="preserve">.3 </w:t>
      </w:r>
      <w:r>
        <w:rPr>
          <w:rFonts w:hint="eastAsia" w:hAnsi="宋体"/>
          <w:color w:val="000000" w:themeColor="text1"/>
          <w:sz w:val="24"/>
          <w:szCs w:val="24"/>
          <w14:textFill>
            <w14:solidFill>
              <w14:schemeClr w14:val="tx1"/>
            </w14:solidFill>
          </w14:textFill>
        </w:rPr>
        <w:t>不可抗力事件延续</w:t>
      </w:r>
      <w:r>
        <w:rPr>
          <w:rFonts w:hAnsi="宋体"/>
          <w:color w:val="000000" w:themeColor="text1"/>
          <w:sz w:val="24"/>
          <w:szCs w:val="24"/>
          <w14:textFill>
            <w14:solidFill>
              <w14:schemeClr w14:val="tx1"/>
            </w14:solidFill>
          </w14:textFill>
        </w:rPr>
        <w:t>120</w:t>
      </w:r>
      <w:r>
        <w:rPr>
          <w:rFonts w:hint="eastAsia" w:hAnsi="宋体"/>
          <w:color w:val="000000" w:themeColor="text1"/>
          <w:sz w:val="24"/>
          <w:szCs w:val="24"/>
          <w14:textFill>
            <w14:solidFill>
              <w14:schemeClr w14:val="tx1"/>
            </w14:solidFill>
          </w14:textFill>
        </w:rPr>
        <w:t>天以上，双方应通过友好协商，确定是否继续履行合同。</w:t>
      </w:r>
    </w:p>
    <w:p>
      <w:pPr>
        <w:pStyle w:val="20"/>
        <w:snapToGrid w:val="0"/>
        <w:spacing w:before="120" w:after="120" w:line="500" w:lineRule="exac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十</w:t>
      </w:r>
      <w:r>
        <w:rPr>
          <w:rFonts w:hint="eastAsia" w:hAnsi="宋体"/>
          <w:b/>
          <w:color w:val="000000" w:themeColor="text1"/>
          <w:sz w:val="24"/>
          <w:szCs w:val="24"/>
          <w:lang w:eastAsia="zh-CN"/>
          <w14:textFill>
            <w14:solidFill>
              <w14:schemeClr w14:val="tx1"/>
            </w14:solidFill>
          </w14:textFill>
        </w:rPr>
        <w:t>一</w:t>
      </w:r>
      <w:r>
        <w:rPr>
          <w:rFonts w:hint="eastAsia" w:hAnsi="宋体"/>
          <w:b/>
          <w:color w:val="000000" w:themeColor="text1"/>
          <w:sz w:val="24"/>
          <w:szCs w:val="24"/>
          <w14:textFill>
            <w14:solidFill>
              <w14:schemeClr w14:val="tx1"/>
            </w14:solidFill>
          </w14:textFill>
        </w:rPr>
        <w:t>、诉讼</w:t>
      </w:r>
    </w:p>
    <w:p>
      <w:pPr>
        <w:pStyle w:val="20"/>
        <w:snapToGrid w:val="0"/>
        <w:spacing w:before="120" w:after="120" w:line="500" w:lineRule="exact"/>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lang w:val="en-US" w:eastAsia="zh-CN"/>
          <w14:textFill>
            <w14:solidFill>
              <w14:schemeClr w14:val="tx1"/>
            </w14:solidFill>
          </w14:textFill>
        </w:rPr>
        <w:t>1</w:t>
      </w:r>
      <w:r>
        <w:rPr>
          <w:rFonts w:hAnsi="宋体"/>
          <w:color w:val="000000" w:themeColor="text1"/>
          <w:sz w:val="24"/>
          <w:szCs w:val="24"/>
          <w14:textFill>
            <w14:solidFill>
              <w14:schemeClr w14:val="tx1"/>
            </w14:solidFill>
          </w14:textFill>
        </w:rPr>
        <w:t xml:space="preserve">.1 </w:t>
      </w:r>
      <w:r>
        <w:rPr>
          <w:rFonts w:hint="eastAsia" w:hAnsi="宋体"/>
          <w:color w:val="000000" w:themeColor="text1"/>
          <w:sz w:val="24"/>
          <w:szCs w:val="24"/>
          <w14:textFill>
            <w14:solidFill>
              <w14:schemeClr w14:val="tx1"/>
            </w14:solidFill>
          </w14:textFill>
        </w:rPr>
        <w:t>双方在执行合同中所发生的一切争议，应通过协商解决。如协商不成，可向合同签订地法院起诉，合同签订地在此约定为盐城市。</w:t>
      </w:r>
    </w:p>
    <w:p>
      <w:pPr>
        <w:pStyle w:val="20"/>
        <w:snapToGrid w:val="0"/>
        <w:spacing w:before="120" w:after="120" w:line="500" w:lineRule="exac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十</w:t>
      </w:r>
      <w:r>
        <w:rPr>
          <w:rFonts w:hint="eastAsia" w:hAnsi="宋体"/>
          <w:b/>
          <w:color w:val="000000" w:themeColor="text1"/>
          <w:sz w:val="24"/>
          <w:szCs w:val="24"/>
          <w:lang w:eastAsia="zh-CN"/>
          <w14:textFill>
            <w14:solidFill>
              <w14:schemeClr w14:val="tx1"/>
            </w14:solidFill>
          </w14:textFill>
        </w:rPr>
        <w:t>二</w:t>
      </w:r>
      <w:r>
        <w:rPr>
          <w:rFonts w:hint="eastAsia" w:hAnsi="宋体"/>
          <w:b/>
          <w:color w:val="000000" w:themeColor="text1"/>
          <w:sz w:val="24"/>
          <w:szCs w:val="24"/>
          <w14:textFill>
            <w14:solidFill>
              <w14:schemeClr w14:val="tx1"/>
            </w14:solidFill>
          </w14:textFill>
        </w:rPr>
        <w:t>、合同生效及其它</w:t>
      </w:r>
    </w:p>
    <w:p>
      <w:pPr>
        <w:pStyle w:val="20"/>
        <w:snapToGrid w:val="0"/>
        <w:spacing w:before="120" w:after="120" w:line="500" w:lineRule="exact"/>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lang w:val="en-US" w:eastAsia="zh-CN"/>
          <w14:textFill>
            <w14:solidFill>
              <w14:schemeClr w14:val="tx1"/>
            </w14:solidFill>
          </w14:textFill>
        </w:rPr>
        <w:t>2</w:t>
      </w:r>
      <w:r>
        <w:rPr>
          <w:rFonts w:hAnsi="宋体"/>
          <w:color w:val="000000" w:themeColor="text1"/>
          <w:sz w:val="24"/>
          <w:szCs w:val="24"/>
          <w14:textFill>
            <w14:solidFill>
              <w14:schemeClr w14:val="tx1"/>
            </w14:solidFill>
          </w14:textFill>
        </w:rPr>
        <w:t xml:space="preserve">.1 </w:t>
      </w:r>
      <w:r>
        <w:rPr>
          <w:rFonts w:hint="eastAsia" w:hAnsi="宋体"/>
          <w:color w:val="000000" w:themeColor="text1"/>
          <w:sz w:val="24"/>
          <w:szCs w:val="24"/>
          <w14:textFill>
            <w14:solidFill>
              <w14:schemeClr w14:val="tx1"/>
            </w14:solidFill>
          </w14:textFill>
        </w:rPr>
        <w:t>合同经双方法定代表人或授权委托代表人签字并加盖单位公章后生效。</w:t>
      </w:r>
    </w:p>
    <w:p>
      <w:pPr>
        <w:pStyle w:val="20"/>
        <w:snapToGrid w:val="0"/>
        <w:spacing w:before="120" w:after="120" w:line="500" w:lineRule="exact"/>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lang w:val="en-US" w:eastAsia="zh-CN"/>
          <w14:textFill>
            <w14:solidFill>
              <w14:schemeClr w14:val="tx1"/>
            </w14:solidFill>
          </w14:textFill>
        </w:rPr>
        <w:t>2</w:t>
      </w: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本合同未尽事宜，遵照《合同法》有关条文执行。</w:t>
      </w:r>
    </w:p>
    <w:p>
      <w:pPr>
        <w:pStyle w:val="20"/>
        <w:snapToGrid w:val="0"/>
        <w:spacing w:before="120" w:after="120" w:line="500" w:lineRule="exact"/>
        <w:rPr>
          <w:rFonts w:hAnsi="宋体"/>
          <w:b/>
          <w:color w:val="000000" w:themeColor="text1"/>
          <w:sz w:val="24"/>
          <w:szCs w:val="24"/>
          <w14:textFill>
            <w14:solidFill>
              <w14:schemeClr w14:val="tx1"/>
            </w14:solidFill>
          </w14:textFill>
        </w:rPr>
      </w:pPr>
      <w:r>
        <w:rPr>
          <w:rFonts w:hAnsi="宋体"/>
          <w:b/>
          <w:color w:val="000000" w:themeColor="text1"/>
          <w:sz w:val="24"/>
          <w:szCs w:val="24"/>
          <w14:textFill>
            <w14:solidFill>
              <w14:schemeClr w14:val="tx1"/>
            </w14:solidFill>
          </w14:textFill>
        </w:rPr>
        <w:t>1</w:t>
      </w:r>
      <w:r>
        <w:rPr>
          <w:rFonts w:hint="eastAsia" w:hAnsi="宋体"/>
          <w:b/>
          <w:color w:val="000000" w:themeColor="text1"/>
          <w:sz w:val="24"/>
          <w:szCs w:val="24"/>
          <w:lang w:val="en-US" w:eastAsia="zh-CN"/>
          <w14:textFill>
            <w14:solidFill>
              <w14:schemeClr w14:val="tx1"/>
            </w14:solidFill>
          </w14:textFill>
        </w:rPr>
        <w:t>2</w:t>
      </w:r>
      <w:r>
        <w:rPr>
          <w:rFonts w:hAnsi="宋体"/>
          <w:b/>
          <w:color w:val="000000" w:themeColor="text1"/>
          <w:sz w:val="24"/>
          <w:szCs w:val="24"/>
          <w14:textFill>
            <w14:solidFill>
              <w14:schemeClr w14:val="tx1"/>
            </w14:solidFill>
          </w14:textFill>
        </w:rPr>
        <w:t xml:space="preserve">.3 </w:t>
      </w:r>
      <w:r>
        <w:rPr>
          <w:rFonts w:hint="eastAsia" w:hAnsi="宋体"/>
          <w:b/>
          <w:color w:val="000000" w:themeColor="text1"/>
          <w:sz w:val="24"/>
          <w:szCs w:val="24"/>
          <w14:textFill>
            <w14:solidFill>
              <w14:schemeClr w14:val="tx1"/>
            </w14:solidFill>
          </w14:textFill>
        </w:rPr>
        <w:t>本合同正本一式</w:t>
      </w:r>
      <w:r>
        <w:rPr>
          <w:rFonts w:hint="eastAsia" w:hAnsi="宋体"/>
          <w:b/>
          <w:color w:val="000000" w:themeColor="text1"/>
          <w:sz w:val="24"/>
          <w:szCs w:val="24"/>
          <w:lang w:eastAsia="zh-CN"/>
          <w14:textFill>
            <w14:solidFill>
              <w14:schemeClr w14:val="tx1"/>
            </w14:solidFill>
          </w14:textFill>
        </w:rPr>
        <w:t>六</w:t>
      </w:r>
      <w:r>
        <w:rPr>
          <w:rFonts w:hint="eastAsia" w:hAnsi="宋体"/>
          <w:b/>
          <w:color w:val="000000" w:themeColor="text1"/>
          <w:sz w:val="24"/>
          <w:szCs w:val="24"/>
          <w14:textFill>
            <w14:solidFill>
              <w14:schemeClr w14:val="tx1"/>
            </w14:solidFill>
          </w14:textFill>
        </w:rPr>
        <w:t>份，具有同等法律效力，甲方、乙方各执</w:t>
      </w:r>
      <w:r>
        <w:rPr>
          <w:rFonts w:hint="eastAsia" w:hAnsi="宋体"/>
          <w:b/>
          <w:color w:val="000000" w:themeColor="text1"/>
          <w:sz w:val="24"/>
          <w:szCs w:val="24"/>
          <w:lang w:eastAsia="zh-CN"/>
          <w14:textFill>
            <w14:solidFill>
              <w14:schemeClr w14:val="tx1"/>
            </w14:solidFill>
          </w14:textFill>
        </w:rPr>
        <w:t>三</w:t>
      </w:r>
      <w:r>
        <w:rPr>
          <w:rFonts w:hint="eastAsia" w:hAnsi="宋体"/>
          <w:b/>
          <w:color w:val="000000" w:themeColor="text1"/>
          <w:sz w:val="24"/>
          <w:szCs w:val="24"/>
          <w14:textFill>
            <w14:solidFill>
              <w14:schemeClr w14:val="tx1"/>
            </w14:solidFill>
          </w14:textFill>
        </w:rPr>
        <w:t>份。</w:t>
      </w:r>
    </w:p>
    <w:p>
      <w:pPr>
        <w:pStyle w:val="20"/>
        <w:snapToGrid w:val="0"/>
        <w:spacing w:before="120" w:after="120" w:line="500" w:lineRule="exact"/>
        <w:ind w:left="480" w:hanging="48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甲方：</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乙方：</w:t>
      </w:r>
      <w:r>
        <w:rPr>
          <w:rFonts w:hAnsi="宋体"/>
          <w:color w:val="000000" w:themeColor="text1"/>
          <w:sz w:val="24"/>
          <w:szCs w:val="24"/>
          <w14:textFill>
            <w14:solidFill>
              <w14:schemeClr w14:val="tx1"/>
            </w14:solidFill>
          </w14:textFill>
        </w:rPr>
        <w:t xml:space="preserve"> </w:t>
      </w:r>
    </w:p>
    <w:p>
      <w:pPr>
        <w:pStyle w:val="20"/>
        <w:snapToGrid w:val="0"/>
        <w:spacing w:before="120" w:after="120" w:line="500" w:lineRule="exact"/>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地址：</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地址：</w:t>
      </w:r>
      <w:r>
        <w:rPr>
          <w:rFonts w:hAnsi="宋体"/>
          <w:color w:val="000000" w:themeColor="text1"/>
          <w:sz w:val="24"/>
          <w:szCs w:val="24"/>
          <w14:textFill>
            <w14:solidFill>
              <w14:schemeClr w14:val="tx1"/>
            </w14:solidFill>
          </w14:textFill>
        </w:rPr>
        <w:t xml:space="preserve"> </w:t>
      </w:r>
    </w:p>
    <w:p>
      <w:pPr>
        <w:pStyle w:val="20"/>
        <w:snapToGrid w:val="0"/>
        <w:spacing w:before="120" w:after="120" w:line="500" w:lineRule="exact"/>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法定代表人或授权代表：</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法定代表人或授权代表：</w:t>
      </w:r>
    </w:p>
    <w:p>
      <w:pPr>
        <w:pStyle w:val="20"/>
        <w:snapToGrid w:val="0"/>
        <w:spacing w:before="120" w:after="120" w:line="500" w:lineRule="exact"/>
        <w:ind w:firstLine="240" w:firstLineChars="100"/>
        <w:rPr>
          <w:rFonts w:hAnsi="宋体"/>
          <w:bCs/>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联系电话：</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联系电话：</w:t>
      </w:r>
      <w:bookmarkEnd w:id="124"/>
      <w:bookmarkEnd w:id="125"/>
      <w:bookmarkEnd w:id="126"/>
      <w:bookmarkStart w:id="127" w:name="_Toc20823346"/>
      <w:bookmarkStart w:id="128" w:name="_Toc120614244"/>
      <w:bookmarkStart w:id="129" w:name="_Toc16938590"/>
      <w:bookmarkStart w:id="130" w:name="_Toc462564139"/>
      <w:bookmarkStart w:id="131" w:name="_Toc479757211"/>
      <w:r>
        <w:rPr>
          <w:rFonts w:hAnsi="宋体"/>
          <w:color w:val="000000" w:themeColor="text1"/>
          <w:sz w:val="24"/>
          <w:szCs w:val="24"/>
          <w14:textFill>
            <w14:solidFill>
              <w14:schemeClr w14:val="tx1"/>
            </w14:solidFill>
          </w14:textFill>
        </w:rPr>
        <w:br w:type="textWrapping"/>
      </w:r>
      <w:r>
        <w:rPr>
          <w:rFonts w:hint="eastAsia" w:hAnsi="宋体"/>
          <w:color w:val="000000" w:themeColor="text1"/>
          <w:sz w:val="24"/>
          <w:szCs w:val="24"/>
          <w14:textFill>
            <w14:solidFill>
              <w14:schemeClr w14:val="tx1"/>
            </w14:solidFill>
          </w14:textFill>
        </w:rPr>
        <w:t xml:space="preserve">  年   月   日                             年   月   日</w:t>
      </w:r>
    </w:p>
    <w:p>
      <w:pPr>
        <w:pStyle w:val="20"/>
        <w:snapToGrid w:val="0"/>
        <w:spacing w:before="120" w:after="120" w:line="500" w:lineRule="exact"/>
        <w:ind w:firstLine="361" w:firstLineChars="100"/>
        <w:jc w:val="center"/>
        <w:rPr>
          <w:rFonts w:hAnsi="宋体"/>
          <w:b/>
          <w:color w:val="000000" w:themeColor="text1"/>
          <w:sz w:val="36"/>
          <w:szCs w:val="36"/>
          <w14:textFill>
            <w14:solidFill>
              <w14:schemeClr w14:val="tx1"/>
            </w14:solidFill>
          </w14:textFill>
        </w:rPr>
      </w:pPr>
    </w:p>
    <w:p>
      <w:pPr>
        <w:pStyle w:val="20"/>
        <w:snapToGrid w:val="0"/>
        <w:spacing w:before="120" w:after="120" w:line="500" w:lineRule="exact"/>
        <w:ind w:firstLine="361" w:firstLineChars="100"/>
        <w:jc w:val="center"/>
        <w:rPr>
          <w:rFonts w:hAnsi="宋体"/>
          <w:b/>
          <w:color w:val="000000" w:themeColor="text1"/>
          <w:sz w:val="36"/>
          <w:szCs w:val="36"/>
          <w14:textFill>
            <w14:solidFill>
              <w14:schemeClr w14:val="tx1"/>
            </w14:solidFill>
          </w14:textFill>
        </w:rPr>
      </w:pPr>
    </w:p>
    <w:p>
      <w:pPr>
        <w:pStyle w:val="20"/>
        <w:snapToGrid w:val="0"/>
        <w:spacing w:before="120" w:after="120" w:line="500" w:lineRule="exact"/>
        <w:ind w:firstLine="361" w:firstLineChars="100"/>
        <w:jc w:val="center"/>
        <w:rPr>
          <w:rFonts w:hAnsi="宋体"/>
          <w:b/>
          <w:color w:val="000000" w:themeColor="text1"/>
          <w:sz w:val="36"/>
          <w:szCs w:val="36"/>
          <w14:textFill>
            <w14:solidFill>
              <w14:schemeClr w14:val="tx1"/>
            </w14:solidFill>
          </w14:textFill>
        </w:rPr>
      </w:pPr>
    </w:p>
    <w:p>
      <w:pPr>
        <w:pStyle w:val="20"/>
        <w:snapToGrid w:val="0"/>
        <w:spacing w:before="120" w:after="120" w:line="500" w:lineRule="exact"/>
        <w:ind w:firstLine="361" w:firstLineChars="100"/>
        <w:jc w:val="center"/>
        <w:rPr>
          <w:rFonts w:hAnsi="宋体"/>
          <w:b/>
          <w:color w:val="000000" w:themeColor="text1"/>
          <w:sz w:val="36"/>
          <w:szCs w:val="36"/>
          <w14:textFill>
            <w14:solidFill>
              <w14:schemeClr w14:val="tx1"/>
            </w14:solidFill>
          </w14:textFill>
        </w:rPr>
      </w:pPr>
    </w:p>
    <w:p>
      <w:pPr>
        <w:pStyle w:val="20"/>
        <w:snapToGrid w:val="0"/>
        <w:spacing w:before="120" w:after="120" w:line="500" w:lineRule="exact"/>
        <w:ind w:firstLine="361" w:firstLineChars="100"/>
        <w:jc w:val="center"/>
        <w:rPr>
          <w:rFonts w:hAnsi="宋体"/>
          <w:b/>
          <w:color w:val="000000" w:themeColor="text1"/>
          <w:sz w:val="36"/>
          <w:szCs w:val="36"/>
          <w14:textFill>
            <w14:solidFill>
              <w14:schemeClr w14:val="tx1"/>
            </w14:solidFill>
          </w14:textFill>
        </w:rPr>
      </w:pPr>
    </w:p>
    <w:p>
      <w:pPr>
        <w:pStyle w:val="20"/>
        <w:snapToGrid w:val="0"/>
        <w:spacing w:before="120" w:after="120" w:line="500" w:lineRule="exact"/>
        <w:ind w:firstLine="361" w:firstLineChars="100"/>
        <w:jc w:val="center"/>
        <w:rPr>
          <w:rFonts w:hAnsi="宋体"/>
          <w:b/>
          <w:color w:val="000000" w:themeColor="text1"/>
          <w:sz w:val="36"/>
          <w:szCs w:val="36"/>
          <w14:textFill>
            <w14:solidFill>
              <w14:schemeClr w14:val="tx1"/>
            </w14:solidFill>
          </w14:textFill>
        </w:rPr>
      </w:pPr>
    </w:p>
    <w:p>
      <w:pPr>
        <w:pStyle w:val="20"/>
        <w:snapToGrid w:val="0"/>
        <w:spacing w:before="120" w:after="120" w:line="500" w:lineRule="exact"/>
        <w:ind w:firstLine="361" w:firstLineChars="100"/>
        <w:jc w:val="center"/>
        <w:rPr>
          <w:rFonts w:hAnsi="宋体"/>
          <w:b/>
          <w:color w:val="000000" w:themeColor="text1"/>
          <w:sz w:val="36"/>
          <w:szCs w:val="36"/>
          <w14:textFill>
            <w14:solidFill>
              <w14:schemeClr w14:val="tx1"/>
            </w14:solidFill>
          </w14:textFill>
        </w:rPr>
      </w:pPr>
    </w:p>
    <w:p>
      <w:pPr>
        <w:pStyle w:val="20"/>
        <w:snapToGrid w:val="0"/>
        <w:spacing w:before="120" w:after="120" w:line="500" w:lineRule="exact"/>
        <w:ind w:firstLine="361" w:firstLineChars="100"/>
        <w:jc w:val="center"/>
        <w:rPr>
          <w:rFonts w:hAnsi="宋体"/>
          <w:b/>
          <w:color w:val="000000" w:themeColor="text1"/>
          <w:sz w:val="36"/>
          <w:szCs w:val="36"/>
          <w14:textFill>
            <w14:solidFill>
              <w14:schemeClr w14:val="tx1"/>
            </w14:solidFill>
          </w14:textFill>
        </w:rPr>
      </w:pPr>
    </w:p>
    <w:p>
      <w:pPr>
        <w:pStyle w:val="20"/>
        <w:snapToGrid w:val="0"/>
        <w:spacing w:before="120" w:after="120" w:line="500" w:lineRule="exact"/>
        <w:ind w:firstLine="361" w:firstLineChars="100"/>
        <w:jc w:val="center"/>
        <w:rPr>
          <w:rFonts w:hAnsi="宋体"/>
          <w:b/>
          <w:color w:val="000000" w:themeColor="text1"/>
          <w:sz w:val="36"/>
          <w:szCs w:val="36"/>
          <w14:textFill>
            <w14:solidFill>
              <w14:schemeClr w14:val="tx1"/>
            </w14:solidFill>
          </w14:textFill>
        </w:rPr>
      </w:pPr>
    </w:p>
    <w:p>
      <w:pPr>
        <w:pStyle w:val="20"/>
        <w:snapToGrid w:val="0"/>
        <w:spacing w:before="120" w:after="120" w:line="500" w:lineRule="exact"/>
        <w:ind w:firstLine="361" w:firstLineChars="100"/>
        <w:jc w:val="center"/>
        <w:rPr>
          <w:rFonts w:hAnsi="宋体"/>
          <w:b/>
          <w:color w:val="000000" w:themeColor="text1"/>
          <w:sz w:val="36"/>
          <w:szCs w:val="36"/>
          <w14:textFill>
            <w14:solidFill>
              <w14:schemeClr w14:val="tx1"/>
            </w14:solidFill>
          </w14:textFill>
        </w:rPr>
      </w:pPr>
    </w:p>
    <w:p>
      <w:pPr>
        <w:pStyle w:val="20"/>
        <w:snapToGrid w:val="0"/>
        <w:spacing w:before="120" w:after="120" w:line="500" w:lineRule="exact"/>
        <w:ind w:firstLine="361" w:firstLineChars="100"/>
        <w:jc w:val="center"/>
        <w:rPr>
          <w:rFonts w:hAnsi="宋体"/>
          <w:b/>
          <w:color w:val="000000" w:themeColor="text1"/>
          <w:sz w:val="36"/>
          <w:szCs w:val="36"/>
          <w14:textFill>
            <w14:solidFill>
              <w14:schemeClr w14:val="tx1"/>
            </w14:solidFill>
          </w14:textFill>
        </w:rPr>
      </w:pPr>
    </w:p>
    <w:p>
      <w:pPr>
        <w:pStyle w:val="20"/>
        <w:snapToGrid w:val="0"/>
        <w:spacing w:before="120" w:after="120" w:line="500" w:lineRule="exact"/>
        <w:ind w:firstLine="361" w:firstLineChars="100"/>
        <w:jc w:val="center"/>
        <w:rPr>
          <w:rFonts w:hAnsi="宋体"/>
          <w:b/>
          <w:color w:val="000000" w:themeColor="text1"/>
          <w:sz w:val="36"/>
          <w:szCs w:val="36"/>
          <w14:textFill>
            <w14:solidFill>
              <w14:schemeClr w14:val="tx1"/>
            </w14:solidFill>
          </w14:textFill>
        </w:rPr>
      </w:pPr>
    </w:p>
    <w:p>
      <w:pPr>
        <w:pStyle w:val="20"/>
        <w:snapToGrid w:val="0"/>
        <w:spacing w:before="120" w:after="120" w:line="500" w:lineRule="exact"/>
        <w:ind w:firstLine="361" w:firstLineChars="100"/>
        <w:jc w:val="center"/>
        <w:rPr>
          <w:rFonts w:hAnsi="宋体"/>
          <w:b/>
          <w:color w:val="000000" w:themeColor="text1"/>
          <w:sz w:val="36"/>
          <w:szCs w:val="36"/>
          <w14:textFill>
            <w14:solidFill>
              <w14:schemeClr w14:val="tx1"/>
            </w14:solidFill>
          </w14:textFill>
        </w:rPr>
      </w:pPr>
    </w:p>
    <w:p>
      <w:pPr>
        <w:pStyle w:val="20"/>
        <w:snapToGrid w:val="0"/>
        <w:spacing w:before="120" w:after="120" w:line="500" w:lineRule="exact"/>
        <w:ind w:firstLine="361" w:firstLineChars="100"/>
        <w:jc w:val="center"/>
        <w:rPr>
          <w:rFonts w:hAnsi="宋体"/>
          <w:b/>
          <w:color w:val="000000" w:themeColor="text1"/>
          <w:sz w:val="36"/>
          <w:szCs w:val="36"/>
          <w14:textFill>
            <w14:solidFill>
              <w14:schemeClr w14:val="tx1"/>
            </w14:solidFill>
          </w14:textFill>
        </w:rPr>
      </w:pPr>
    </w:p>
    <w:p>
      <w:pPr>
        <w:pStyle w:val="20"/>
        <w:snapToGrid w:val="0"/>
        <w:spacing w:before="120" w:after="120" w:line="500" w:lineRule="exact"/>
        <w:ind w:firstLine="361" w:firstLineChars="100"/>
        <w:jc w:val="center"/>
        <w:rPr>
          <w:rFonts w:hAnsi="宋体"/>
          <w:b/>
          <w:color w:val="000000" w:themeColor="text1"/>
          <w:sz w:val="36"/>
          <w:szCs w:val="36"/>
          <w14:textFill>
            <w14:solidFill>
              <w14:schemeClr w14:val="tx1"/>
            </w14:solidFill>
          </w14:textFill>
        </w:rPr>
      </w:pPr>
    </w:p>
    <w:p>
      <w:pPr>
        <w:pStyle w:val="20"/>
        <w:snapToGrid w:val="0"/>
        <w:spacing w:before="120" w:after="120" w:line="500" w:lineRule="exact"/>
        <w:ind w:firstLine="361" w:firstLineChars="100"/>
        <w:jc w:val="center"/>
        <w:rPr>
          <w:rFonts w:hAnsi="宋体"/>
          <w:b/>
          <w:color w:val="000000" w:themeColor="text1"/>
          <w:sz w:val="36"/>
          <w:szCs w:val="36"/>
          <w14:textFill>
            <w14:solidFill>
              <w14:schemeClr w14:val="tx1"/>
            </w14:solidFill>
          </w14:textFill>
        </w:rPr>
      </w:pPr>
    </w:p>
    <w:p>
      <w:pPr>
        <w:pStyle w:val="20"/>
        <w:snapToGrid w:val="0"/>
        <w:spacing w:before="120" w:after="120" w:line="500" w:lineRule="exact"/>
        <w:ind w:firstLine="361" w:firstLineChars="100"/>
        <w:jc w:val="center"/>
        <w:rPr>
          <w:rFonts w:hAnsi="宋体"/>
          <w:b/>
          <w:color w:val="000000" w:themeColor="text1"/>
          <w:sz w:val="36"/>
          <w:szCs w:val="36"/>
          <w14:textFill>
            <w14:solidFill>
              <w14:schemeClr w14:val="tx1"/>
            </w14:solidFill>
          </w14:textFill>
        </w:rPr>
      </w:pPr>
    </w:p>
    <w:p>
      <w:pPr>
        <w:pStyle w:val="20"/>
        <w:snapToGrid w:val="0"/>
        <w:spacing w:before="120" w:after="120" w:line="500" w:lineRule="exact"/>
        <w:ind w:firstLine="361" w:firstLineChars="100"/>
        <w:jc w:val="center"/>
        <w:rPr>
          <w:rFonts w:hAnsi="宋体"/>
          <w:b/>
          <w:color w:val="000000" w:themeColor="text1"/>
          <w:sz w:val="36"/>
          <w:szCs w:val="36"/>
          <w14:textFill>
            <w14:solidFill>
              <w14:schemeClr w14:val="tx1"/>
            </w14:solidFill>
          </w14:textFill>
        </w:rPr>
      </w:pPr>
    </w:p>
    <w:p>
      <w:pPr>
        <w:pStyle w:val="20"/>
        <w:snapToGrid w:val="0"/>
        <w:spacing w:before="120" w:after="120" w:line="500" w:lineRule="exact"/>
        <w:ind w:firstLine="361" w:firstLineChars="100"/>
        <w:jc w:val="center"/>
        <w:rPr>
          <w:rFonts w:hAnsi="宋体"/>
          <w:b/>
          <w:color w:val="000000" w:themeColor="text1"/>
          <w:sz w:val="36"/>
          <w:szCs w:val="36"/>
          <w14:textFill>
            <w14:solidFill>
              <w14:schemeClr w14:val="tx1"/>
            </w14:solidFill>
          </w14:textFill>
        </w:rPr>
      </w:pPr>
    </w:p>
    <w:p>
      <w:pPr>
        <w:pStyle w:val="20"/>
        <w:snapToGrid w:val="0"/>
        <w:spacing w:before="120" w:after="120" w:line="500" w:lineRule="exact"/>
        <w:ind w:firstLine="361" w:firstLineChars="100"/>
        <w:jc w:val="center"/>
        <w:rPr>
          <w:rFonts w:hAnsi="宋体"/>
          <w:b/>
          <w:color w:val="000000" w:themeColor="text1"/>
          <w:sz w:val="36"/>
          <w:szCs w:val="36"/>
          <w14:textFill>
            <w14:solidFill>
              <w14:schemeClr w14:val="tx1"/>
            </w14:solidFill>
          </w14:textFill>
        </w:rPr>
      </w:pPr>
    </w:p>
    <w:p>
      <w:pPr>
        <w:pStyle w:val="20"/>
        <w:snapToGrid w:val="0"/>
        <w:spacing w:before="120" w:after="120" w:line="500" w:lineRule="exact"/>
        <w:ind w:firstLine="361" w:firstLineChars="100"/>
        <w:jc w:val="center"/>
        <w:rPr>
          <w:rFonts w:hAnsi="宋体"/>
          <w:b/>
          <w:color w:val="000000" w:themeColor="text1"/>
          <w:sz w:val="36"/>
          <w:szCs w:val="36"/>
          <w14:textFill>
            <w14:solidFill>
              <w14:schemeClr w14:val="tx1"/>
            </w14:solidFill>
          </w14:textFill>
        </w:rPr>
      </w:pPr>
    </w:p>
    <w:p>
      <w:pPr>
        <w:pStyle w:val="20"/>
        <w:snapToGrid w:val="0"/>
        <w:spacing w:before="120" w:after="120" w:line="500" w:lineRule="exact"/>
        <w:ind w:firstLine="361" w:firstLineChars="100"/>
        <w:jc w:val="center"/>
        <w:rPr>
          <w:rFonts w:hAnsi="宋体"/>
          <w:b/>
          <w:color w:val="000000" w:themeColor="text1"/>
          <w:sz w:val="36"/>
          <w:szCs w:val="36"/>
          <w14:textFill>
            <w14:solidFill>
              <w14:schemeClr w14:val="tx1"/>
            </w14:solidFill>
          </w14:textFill>
        </w:rPr>
      </w:pPr>
    </w:p>
    <w:p>
      <w:pPr>
        <w:pStyle w:val="20"/>
        <w:snapToGrid w:val="0"/>
        <w:spacing w:before="120" w:after="120" w:line="500" w:lineRule="exact"/>
        <w:ind w:firstLine="361" w:firstLineChars="100"/>
        <w:jc w:val="center"/>
        <w:rPr>
          <w:rFonts w:hAnsi="宋体"/>
          <w:b/>
          <w:color w:val="000000" w:themeColor="text1"/>
          <w:sz w:val="36"/>
          <w:szCs w:val="36"/>
          <w14:textFill>
            <w14:solidFill>
              <w14:schemeClr w14:val="tx1"/>
            </w14:solidFill>
          </w14:textFill>
        </w:rPr>
      </w:pPr>
    </w:p>
    <w:p>
      <w:pPr>
        <w:pStyle w:val="20"/>
        <w:snapToGrid w:val="0"/>
        <w:spacing w:before="120" w:after="120" w:line="500" w:lineRule="exact"/>
        <w:jc w:val="both"/>
        <w:rPr>
          <w:rFonts w:hAnsi="宋体"/>
          <w:b/>
          <w:color w:val="000000" w:themeColor="text1"/>
          <w:sz w:val="36"/>
          <w:szCs w:val="36"/>
          <w14:textFill>
            <w14:solidFill>
              <w14:schemeClr w14:val="tx1"/>
            </w14:solidFill>
          </w14:textFill>
        </w:rPr>
      </w:pPr>
    </w:p>
    <w:p>
      <w:pPr>
        <w:pStyle w:val="20"/>
        <w:snapToGrid w:val="0"/>
        <w:spacing w:before="120" w:after="120" w:line="500" w:lineRule="exact"/>
        <w:ind w:firstLine="361" w:firstLineChars="100"/>
        <w:jc w:val="center"/>
        <w:rPr>
          <w:rFonts w:hAnsi="宋体"/>
          <w:color w:val="000000" w:themeColor="text1"/>
          <w:sz w:val="24"/>
          <w:szCs w:val="24"/>
          <w14:textFill>
            <w14:solidFill>
              <w14:schemeClr w14:val="tx1"/>
            </w14:solidFill>
          </w14:textFill>
        </w:rPr>
      </w:pPr>
      <w:r>
        <w:rPr>
          <w:rFonts w:hint="eastAsia" w:hAnsi="宋体"/>
          <w:b/>
          <w:color w:val="000000" w:themeColor="text1"/>
          <w:sz w:val="36"/>
          <w:szCs w:val="36"/>
          <w14:textFill>
            <w14:solidFill>
              <w14:schemeClr w14:val="tx1"/>
            </w14:solidFill>
          </w14:textFill>
        </w:rPr>
        <w:t>第四章  采购需求</w:t>
      </w:r>
      <w:bookmarkEnd w:id="127"/>
      <w:bookmarkEnd w:id="128"/>
      <w:bookmarkEnd w:id="129"/>
      <w:bookmarkStart w:id="132" w:name="_Toc26554093"/>
      <w:bookmarkStart w:id="133" w:name="_Toc49090575"/>
    </w:p>
    <w:p>
      <w:pPr>
        <w:spacing w:line="400" w:lineRule="exact"/>
        <w:ind w:firstLine="602" w:firstLineChars="200"/>
        <w:outlineLvl w:val="2"/>
        <w:rPr>
          <w:rFonts w:hint="eastAsia" w:ascii="宋体" w:hAnsi="宋体"/>
          <w:b/>
          <w:color w:val="000000"/>
          <w:sz w:val="30"/>
          <w:szCs w:val="30"/>
        </w:rPr>
      </w:pPr>
      <w:r>
        <w:rPr>
          <w:rFonts w:hint="eastAsia" w:ascii="宋体" w:hAnsi="宋体"/>
          <w:b/>
          <w:color w:val="000000"/>
          <w:sz w:val="30"/>
          <w:szCs w:val="30"/>
        </w:rPr>
        <w:t>一、维保内容及要求</w:t>
      </w:r>
    </w:p>
    <w:p>
      <w:pPr>
        <w:pStyle w:val="20"/>
        <w:snapToGrid w:val="0"/>
        <w:spacing w:before="120" w:after="120" w:line="500" w:lineRule="exact"/>
        <w:ind w:firstLine="482" w:firstLineChars="200"/>
        <w:rPr>
          <w:rFonts w:hint="default" w:hAnsi="宋体"/>
          <w:b/>
          <w:color w:val="000000" w:themeColor="text1"/>
          <w:sz w:val="24"/>
          <w:szCs w:val="24"/>
          <w:lang w:val="en-US"/>
          <w14:textFill>
            <w14:solidFill>
              <w14:schemeClr w14:val="tx1"/>
            </w14:solidFill>
          </w14:textFill>
        </w:rPr>
      </w:pPr>
      <w:r>
        <w:rPr>
          <w:rFonts w:hint="eastAsia" w:ascii="宋体" w:hAnsi="宋体"/>
          <w:b/>
          <w:color w:val="000000"/>
          <w:sz w:val="24"/>
        </w:rPr>
        <w:t>1.</w:t>
      </w:r>
      <w:r>
        <w:rPr>
          <w:rFonts w:hint="eastAsia" w:hAnsi="宋体"/>
          <w:b/>
          <w:color w:val="000000" w:themeColor="text1"/>
          <w:sz w:val="24"/>
          <w:szCs w:val="24"/>
          <w:lang w:val="en-US" w:eastAsia="zh-CN"/>
          <w14:textFill>
            <w14:solidFill>
              <w14:schemeClr w14:val="tx1"/>
            </w14:solidFill>
          </w14:textFill>
        </w:rPr>
        <w:t>驻场人员要求</w:t>
      </w:r>
    </w:p>
    <w:p>
      <w:pPr>
        <w:pStyle w:val="20"/>
        <w:snapToGrid w:val="0"/>
        <w:spacing w:before="120" w:after="120" w:line="500" w:lineRule="exact"/>
        <w:ind w:firstLine="720" w:firstLineChars="300"/>
        <w:rPr>
          <w:rFonts w:hint="eastAsia" w:hAnsi="宋体"/>
          <w:b w:val="0"/>
          <w:bCs/>
          <w:color w:val="000000" w:themeColor="text1"/>
          <w:sz w:val="24"/>
          <w:szCs w:val="24"/>
          <w:lang w:val="en-US" w:eastAsia="zh-CN"/>
          <w14:textFill>
            <w14:solidFill>
              <w14:schemeClr w14:val="tx1"/>
            </w14:solidFill>
          </w14:textFill>
        </w:rPr>
      </w:pPr>
      <w:r>
        <w:rPr>
          <w:rFonts w:hint="eastAsia" w:hAnsi="宋体"/>
          <w:b w:val="0"/>
          <w:bCs/>
          <w:color w:val="000000" w:themeColor="text1"/>
          <w:sz w:val="24"/>
          <w:szCs w:val="24"/>
          <w:lang w:val="en-US" w:eastAsia="zh-CN"/>
          <w14:textFill>
            <w14:solidFill>
              <w14:schemeClr w14:val="tx1"/>
            </w14:solidFill>
          </w14:textFill>
        </w:rPr>
        <w:t>1.1、中标单位需派驻值班人员对盐城市中医院消防及智能化监控中心，实行24小时值班制（每岗不少于2人，值班地点为盐城市中医院消防及智能化监控中心），且作业人员年龄不得超过法定退休年龄（其中男作业人员数量不少于总值班人员数量的50%），值班人员需持有相应的（消防人员）上岗资格证书，另1名专职消防设施管理人员负责日常消防管理和应急处理。人员上岗前，由业主面试。</w:t>
      </w:r>
    </w:p>
    <w:p>
      <w:pPr>
        <w:pStyle w:val="20"/>
        <w:snapToGrid w:val="0"/>
        <w:spacing w:before="120" w:after="120" w:line="500" w:lineRule="exact"/>
        <w:ind w:firstLine="720" w:firstLineChars="300"/>
        <w:rPr>
          <w:rFonts w:hint="eastAsia" w:hAnsi="宋体"/>
          <w:b w:val="0"/>
          <w:bCs/>
          <w:color w:val="000000" w:themeColor="text1"/>
          <w:sz w:val="24"/>
          <w:szCs w:val="24"/>
          <w:lang w:val="en-US" w:eastAsia="zh-CN"/>
          <w14:textFill>
            <w14:solidFill>
              <w14:schemeClr w14:val="tx1"/>
            </w14:solidFill>
          </w14:textFill>
        </w:rPr>
      </w:pPr>
      <w:r>
        <w:rPr>
          <w:rFonts w:hint="eastAsia" w:hAnsi="宋体"/>
          <w:b w:val="0"/>
          <w:bCs/>
          <w:color w:val="000000" w:themeColor="text1"/>
          <w:sz w:val="24"/>
          <w:szCs w:val="24"/>
          <w:lang w:val="en-US" w:eastAsia="zh-CN"/>
          <w14:textFill>
            <w14:solidFill>
              <w14:schemeClr w14:val="tx1"/>
            </w14:solidFill>
          </w14:textFill>
        </w:rPr>
        <w:t>1.2、实行24小时值班制度。值班人员应通过消防行业特有工种职业技能鉴定，持有初级技能以上等级的职业资格证书。</w:t>
      </w:r>
    </w:p>
    <w:p>
      <w:pPr>
        <w:pStyle w:val="20"/>
        <w:snapToGrid w:val="0"/>
        <w:spacing w:before="120" w:after="120" w:line="500" w:lineRule="exact"/>
        <w:ind w:firstLine="720" w:firstLineChars="300"/>
        <w:rPr>
          <w:rFonts w:hint="eastAsia" w:ascii="宋体" w:hAnsi="宋体"/>
          <w:color w:val="000000"/>
          <w:sz w:val="24"/>
        </w:rPr>
      </w:pPr>
      <w:r>
        <w:rPr>
          <w:rFonts w:hint="eastAsia" w:hAnsi="宋体"/>
          <w:b w:val="0"/>
          <w:bCs/>
          <w:color w:val="000000" w:themeColor="text1"/>
          <w:sz w:val="24"/>
          <w:szCs w:val="24"/>
          <w:lang w:val="en-US" w:eastAsia="zh-CN"/>
          <w14:textFill>
            <w14:solidFill>
              <w14:schemeClr w14:val="tx1"/>
            </w14:solidFill>
          </w14:textFill>
        </w:rPr>
        <w:t>1.3、每班工作时间应不大于8H，每班人员不少于2人。</w:t>
      </w:r>
    </w:p>
    <w:p>
      <w:pPr>
        <w:spacing w:line="400" w:lineRule="exact"/>
        <w:ind w:firstLine="482" w:firstLineChars="200"/>
        <w:outlineLvl w:val="2"/>
        <w:rPr>
          <w:rFonts w:hint="default" w:ascii="宋体" w:hAnsi="宋体" w:eastAsia="宋体"/>
          <w:color w:val="000000"/>
          <w:sz w:val="24"/>
          <w:lang w:val="en-US" w:eastAsia="zh-CN"/>
        </w:rPr>
      </w:pPr>
      <w:r>
        <w:rPr>
          <w:rFonts w:hint="eastAsia" w:ascii="宋体" w:hAnsi="宋体"/>
          <w:b/>
          <w:color w:val="000000"/>
          <w:sz w:val="24"/>
        </w:rPr>
        <w:t>2.项目地点：</w:t>
      </w:r>
      <w:r>
        <w:rPr>
          <w:rFonts w:hint="eastAsia" w:ascii="宋体" w:hAnsi="宋体"/>
          <w:color w:val="000000"/>
          <w:sz w:val="24"/>
          <w:lang w:val="en-US" w:eastAsia="zh-CN"/>
        </w:rPr>
        <w:t>盐城市中医院</w:t>
      </w:r>
    </w:p>
    <w:p>
      <w:pPr>
        <w:spacing w:line="400" w:lineRule="exact"/>
        <w:ind w:firstLine="482" w:firstLineChars="200"/>
        <w:outlineLvl w:val="2"/>
        <w:rPr>
          <w:rFonts w:hint="eastAsia" w:ascii="宋体" w:hAnsi="宋体"/>
          <w:color w:val="000000"/>
          <w:sz w:val="24"/>
        </w:rPr>
      </w:pPr>
      <w:r>
        <w:rPr>
          <w:rFonts w:hint="eastAsia" w:ascii="宋体" w:hAnsi="宋体"/>
          <w:b/>
          <w:color w:val="000000"/>
          <w:sz w:val="24"/>
        </w:rPr>
        <w:t>3.维保期限：</w:t>
      </w:r>
      <w:r>
        <w:rPr>
          <w:rFonts w:hint="eastAsia" w:ascii="宋体" w:hAnsi="宋体"/>
          <w:color w:val="000000"/>
          <w:sz w:val="24"/>
          <w:u w:val="single"/>
          <w:lang w:val="en-US" w:eastAsia="zh-CN"/>
        </w:rPr>
        <w:t>一</w:t>
      </w:r>
      <w:r>
        <w:rPr>
          <w:rFonts w:hint="eastAsia" w:ascii="宋体" w:hAnsi="宋体"/>
          <w:color w:val="000000"/>
          <w:sz w:val="24"/>
          <w:u w:val="single"/>
        </w:rPr>
        <w:t>年</w:t>
      </w:r>
    </w:p>
    <w:p>
      <w:pPr>
        <w:spacing w:line="400" w:lineRule="exact"/>
        <w:ind w:firstLine="482" w:firstLineChars="200"/>
        <w:outlineLvl w:val="2"/>
        <w:rPr>
          <w:rFonts w:hint="eastAsia" w:ascii="宋体" w:hAnsi="宋体"/>
          <w:color w:val="000000"/>
          <w:sz w:val="24"/>
        </w:rPr>
      </w:pPr>
      <w:r>
        <w:rPr>
          <w:rFonts w:hint="eastAsia" w:ascii="宋体" w:hAnsi="宋体"/>
          <w:b/>
          <w:color w:val="000000"/>
          <w:sz w:val="24"/>
        </w:rPr>
        <w:t>4.维保质量要求：</w:t>
      </w:r>
      <w:r>
        <w:rPr>
          <w:rFonts w:hint="eastAsia" w:ascii="宋体" w:hAnsi="宋体"/>
          <w:color w:val="000000"/>
          <w:sz w:val="24"/>
        </w:rPr>
        <w:t>维保项目服务应符合相关法律、法规以及其他相关消防法规、规范和技术要求。保持整个</w:t>
      </w:r>
      <w:r>
        <w:rPr>
          <w:rFonts w:hint="eastAsia" w:ascii="宋体" w:hAnsi="宋体"/>
          <w:color w:val="000000"/>
          <w:sz w:val="24"/>
          <w:lang w:eastAsia="zh-CN"/>
        </w:rPr>
        <w:t>消防</w:t>
      </w:r>
      <w:r>
        <w:rPr>
          <w:rFonts w:hint="eastAsia" w:ascii="宋体" w:hAnsi="宋体"/>
          <w:color w:val="000000"/>
          <w:sz w:val="24"/>
        </w:rPr>
        <w:t>系统运行良好。</w:t>
      </w:r>
    </w:p>
    <w:p>
      <w:pPr>
        <w:spacing w:line="400" w:lineRule="exact"/>
        <w:ind w:firstLine="482" w:firstLineChars="200"/>
        <w:outlineLvl w:val="2"/>
        <w:rPr>
          <w:rFonts w:hint="eastAsia" w:ascii="宋体" w:hAnsi="宋体"/>
          <w:b/>
          <w:color w:val="000000"/>
          <w:sz w:val="24"/>
        </w:rPr>
      </w:pPr>
      <w:r>
        <w:rPr>
          <w:rFonts w:hint="eastAsia" w:ascii="宋体" w:hAnsi="宋体"/>
          <w:b/>
          <w:color w:val="000000"/>
          <w:sz w:val="24"/>
        </w:rPr>
        <w:t>5.维保内容：</w:t>
      </w:r>
    </w:p>
    <w:p>
      <w:pPr>
        <w:spacing w:line="400" w:lineRule="exact"/>
        <w:ind w:firstLine="482" w:firstLineChars="200"/>
        <w:outlineLvl w:val="2"/>
        <w:rPr>
          <w:rFonts w:hint="eastAsia" w:ascii="宋体" w:hAnsi="宋体"/>
          <w:b/>
          <w:color w:val="000000"/>
          <w:sz w:val="24"/>
        </w:rPr>
      </w:pPr>
      <w:r>
        <w:rPr>
          <w:rFonts w:hint="eastAsia" w:ascii="宋体" w:hAnsi="宋体"/>
          <w:b/>
          <w:color w:val="000000"/>
          <w:sz w:val="24"/>
        </w:rPr>
        <w:t>5.1火灾自动报警系统</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Ⅰ.每月检查功能</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5.1.1主控屏每月检测一次，发现问题，立即处理，保障各回路正常工程；</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5.1.2主控屏电池组每月检查、清理一次，每季度保养试验一次。</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5.1.3每月检查火灾报警控制器自检功能、消音复位功能、故障报警功能、火灾记忆功能和主备电源自动转换功能。</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5.1.4每月检查消防控制室或消防值班室工作环境以及火灾报警控制器、联动控制器、层显器、探测器。</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 xml:space="preserve">5.1.5每月检查探测点的显示，联动程序。 </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5.1.6每月检查备用电的充放电功能。</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5.1.7每月检查探测器肮脏度、灵敏度、自动环境补偿、预报警、响应域值、通讯故 障及其他必要的功能试验。</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 xml:space="preserve">5.1.8每月检查模块通讯故障、自动诊断、历史记录。 </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5.1.9每月检查手动报警按钮外观有无损坏，报警及指示灯是否正常。</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5.1.10每月检查本系统的值班记录，同保卫科消防值班人员共同做好维护保养的记 录。</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5.1.11每月检查（警铃）音响度、灵敏度，部位的正确。</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 xml:space="preserve">Ⅱ.每季度检查下列功能： </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 xml:space="preserve">5.1.12采用检测设备分期分批试验探测器的工作情况。 </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 xml:space="preserve">5.1.13试验全手动报警按钮。 </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 xml:space="preserve">5.1.14自动或手动试验相关联动控制设备的控制和显示功能。 </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 xml:space="preserve">5.1.15对系统回路电压、回路地阻、回路对地电阻进行检查、测试。 </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 xml:space="preserve">5.1.16对消防电话插孔和对讲电话进行通话试验。 </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5.1.17综合试验，如检验层报警，保障上一层和下一层同步启动报警。</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5.1.18综合上述各分项试验，测试消防主控屏的报警、故障显示、消音、复位、火灾记忆功能，并进行消防主电源和备用电源的自动切换模拟试验和充放电实验，对非消防电源切换、空调、疏散指示标志等设备的联动进行模拟试验。</w:t>
      </w:r>
    </w:p>
    <w:p>
      <w:pPr>
        <w:spacing w:line="400" w:lineRule="exact"/>
        <w:ind w:firstLine="482" w:firstLineChars="200"/>
        <w:outlineLvl w:val="2"/>
        <w:rPr>
          <w:rFonts w:hint="eastAsia" w:ascii="宋体" w:hAnsi="宋体"/>
          <w:b/>
          <w:color w:val="000000"/>
          <w:sz w:val="24"/>
        </w:rPr>
      </w:pPr>
      <w:r>
        <w:rPr>
          <w:rFonts w:hint="eastAsia" w:ascii="宋体" w:hAnsi="宋体"/>
          <w:b/>
          <w:color w:val="000000"/>
          <w:sz w:val="24"/>
        </w:rPr>
        <w:t>维保方巡查、检验应形成书面意见，并做好登记造册备案，送招标人及相关部门备份。</w:t>
      </w:r>
    </w:p>
    <w:p>
      <w:pPr>
        <w:spacing w:line="400" w:lineRule="exact"/>
        <w:ind w:firstLine="482" w:firstLineChars="200"/>
        <w:outlineLvl w:val="2"/>
        <w:rPr>
          <w:rFonts w:hint="eastAsia" w:ascii="宋体" w:hAnsi="宋体"/>
          <w:b/>
          <w:color w:val="000000"/>
          <w:sz w:val="24"/>
        </w:rPr>
      </w:pPr>
      <w:r>
        <w:rPr>
          <w:rFonts w:hint="eastAsia" w:ascii="宋体" w:hAnsi="宋体"/>
          <w:b/>
          <w:color w:val="000000"/>
          <w:sz w:val="24"/>
        </w:rPr>
        <w:t>5.2自动喷淋灭火系统</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Ⅰ.每月检查功能</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5.2.1喷淋泵一主一备的功能试验包括自然启动和遥控开泵、停泵等功能。</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5.2.2恒压泵的功能试验。</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5.2.3喷淋主泵的湿式自动报警阀的功能试验。</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5.2.4水流指示器做放水、报警、复位等功能试验。</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5.2.5年度的模拟火警喷淋头爆胆的综合系统试验。</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5.2.6喷淋系统水泵接合器检查和保养。</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5.2.7系统各项连接联运或主控屏的讯号。</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5.2.8消防喷淋系统末端放水试验。</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5.2.9以上未列的组合及部分的功能、讯号。</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 xml:space="preserve">Ⅱ.每季度检查功能： </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5.2.10启动消防泵，当消防水泵启动后，应模拟自动情况下，测试管网阀门的严密性能，对系统的供水能力和联动启动泵功能，同时试验主、备泵的供水情况。</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5.2.11末端试水、屋顶消火栓出水，检查管网压力和水质。</w:t>
      </w:r>
    </w:p>
    <w:p>
      <w:pPr>
        <w:spacing w:line="400" w:lineRule="exact"/>
        <w:ind w:firstLine="482" w:firstLineChars="200"/>
        <w:outlineLvl w:val="2"/>
        <w:rPr>
          <w:rFonts w:hint="eastAsia" w:ascii="宋体" w:hAnsi="宋体"/>
          <w:b/>
          <w:color w:val="000000"/>
          <w:sz w:val="24"/>
        </w:rPr>
      </w:pPr>
      <w:r>
        <w:rPr>
          <w:rFonts w:hint="eastAsia" w:ascii="宋体" w:hAnsi="宋体"/>
          <w:b/>
          <w:color w:val="000000"/>
          <w:sz w:val="24"/>
        </w:rPr>
        <w:t>5.3消防栓系统</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5.3.1每月检查消防泵一主一备的功能试验包括自然启动和遥控开泵、停泵等功能。</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5.3.2每月检查消防栓箱手动按钮和警铃。</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5.3.3每月试验手动按钮破玻璃模拟报警。</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5.3.4每月检查消防栓水压。</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5.3.5试验消防栓末端放水</w:t>
      </w:r>
      <w:r>
        <w:rPr>
          <w:rFonts w:hint="eastAsia" w:ascii="宋体" w:hAnsi="宋体"/>
          <w:color w:val="000000"/>
          <w:sz w:val="24"/>
          <w:lang w:eastAsia="zh-CN"/>
        </w:rPr>
        <w:t>，</w:t>
      </w:r>
      <w:r>
        <w:rPr>
          <w:rFonts w:hint="eastAsia" w:ascii="宋体" w:hAnsi="宋体"/>
          <w:color w:val="000000"/>
          <w:sz w:val="24"/>
        </w:rPr>
        <w:t>每季度每个消火栓点至少巡查一次（放水检查、接口涂油养护）。。</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5.3.6消防栓系统水泵结合器检查和保养。</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5.3.7系统各项连接联营或主控屏的讯号。</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5.3.8年度模拟火警消防栓综合试验。</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5.3.9每月检查以上未列的组合及构成部分功能、讯号。</w:t>
      </w:r>
    </w:p>
    <w:p>
      <w:pPr>
        <w:spacing w:line="400" w:lineRule="exact"/>
        <w:ind w:firstLine="482" w:firstLineChars="200"/>
        <w:outlineLvl w:val="2"/>
        <w:rPr>
          <w:rFonts w:hint="eastAsia" w:ascii="宋体" w:hAnsi="宋体"/>
          <w:b/>
          <w:color w:val="000000"/>
          <w:sz w:val="24"/>
        </w:rPr>
      </w:pPr>
      <w:r>
        <w:rPr>
          <w:rFonts w:hint="eastAsia" w:ascii="宋体" w:hAnsi="宋体"/>
          <w:b/>
          <w:color w:val="000000"/>
          <w:sz w:val="24"/>
        </w:rPr>
        <w:t>5.4通风、排烟系统</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5.4.1每月检查送风、排烟机房工作环境以及送风机、排烟机、电源控制柜，送风 口、排烟口、防火阀等是否处于正常完好状态。</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5.4.2每季度检查下列功能：</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 xml:space="preserve">（1）试验自动方式打开排烟口、启动送风机、排烟机。抽查楼层数量不少于总数的 50%。 </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 xml:space="preserve">（2）试验自动方式关闭空调系统、电动防火阀。 </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（3）试验手动方式关闭空调系统、电动防火阀。</w:t>
      </w:r>
    </w:p>
    <w:p>
      <w:pPr>
        <w:spacing w:line="400" w:lineRule="exact"/>
        <w:ind w:firstLine="482" w:firstLineChars="200"/>
        <w:outlineLvl w:val="2"/>
        <w:rPr>
          <w:rFonts w:hint="eastAsia" w:ascii="宋体" w:hAnsi="宋体"/>
          <w:b/>
          <w:color w:val="000000"/>
          <w:sz w:val="24"/>
        </w:rPr>
      </w:pPr>
      <w:r>
        <w:rPr>
          <w:rFonts w:hint="eastAsia" w:ascii="宋体" w:hAnsi="宋体"/>
          <w:b/>
          <w:color w:val="000000"/>
          <w:sz w:val="24"/>
        </w:rPr>
        <w:t>5.5防火卷帘门及防火分隔系统</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5.5.1每月检查防火门、防火卷帘门周围有无影响门正常启闭障碍物，检查升降电机、按钮、测试门能否处于正常启、闭状态，门的附件是否齐全完好。</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 xml:space="preserve">5.5.2每月检查试验防火门、防火卷帘门。 </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5.5.4每月检查试验手动按钮启动防火卷帘门。</w:t>
      </w:r>
    </w:p>
    <w:p>
      <w:pPr>
        <w:spacing w:line="400" w:lineRule="exact"/>
        <w:ind w:firstLine="482" w:firstLineChars="200"/>
        <w:outlineLvl w:val="2"/>
        <w:rPr>
          <w:rFonts w:hint="eastAsia" w:ascii="宋体" w:hAnsi="宋体"/>
          <w:b/>
          <w:color w:val="000000"/>
          <w:sz w:val="24"/>
        </w:rPr>
      </w:pPr>
      <w:r>
        <w:rPr>
          <w:rFonts w:hint="eastAsia" w:ascii="宋体" w:hAnsi="宋体"/>
          <w:b/>
          <w:color w:val="000000"/>
          <w:sz w:val="24"/>
        </w:rPr>
        <w:t>5.6应急照明、疏散指示系统</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5.6.1每月检查安全出口疏散指示标志、重要场所的应急照明或疏散指示标志。有损坏情况，应及时修复。</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5.6.2不定期巡查和试验应急照明和疏散指示灯的工作照度和疏散照度，发现故障立即维修，并在24小时内排除故障。</w:t>
      </w:r>
    </w:p>
    <w:p>
      <w:pPr>
        <w:spacing w:line="400" w:lineRule="exact"/>
        <w:ind w:firstLine="482" w:firstLineChars="200"/>
        <w:outlineLvl w:val="2"/>
        <w:rPr>
          <w:rFonts w:hint="eastAsia" w:ascii="宋体" w:hAnsi="宋体"/>
          <w:b/>
          <w:color w:val="000000"/>
          <w:sz w:val="24"/>
        </w:rPr>
      </w:pPr>
      <w:r>
        <w:rPr>
          <w:rFonts w:hint="eastAsia" w:ascii="宋体" w:hAnsi="宋体"/>
          <w:b/>
          <w:color w:val="000000"/>
          <w:sz w:val="24"/>
        </w:rPr>
        <w:t>5.7消防应急广播与通讯系统</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 xml:space="preserve">5.7.1每月检查电话插孔、重要场所的对讲电话、播音设备、扬声器等是否处于正常完好状态。 </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5.7.2每季度检查试验电话插孔和对讲电话的通话质量。</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5.7.3每季度检查试验分层广播。</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5.7.4每季度模拟火警消防广播及电话系统联动功能试验。</w:t>
      </w:r>
    </w:p>
    <w:p>
      <w:pPr>
        <w:spacing w:line="400" w:lineRule="exact"/>
        <w:ind w:firstLine="482" w:firstLineChars="200"/>
        <w:outlineLvl w:val="2"/>
        <w:rPr>
          <w:rFonts w:hint="eastAsia" w:ascii="宋体" w:hAnsi="宋体"/>
          <w:b/>
          <w:color w:val="000000"/>
          <w:sz w:val="24"/>
        </w:rPr>
      </w:pPr>
      <w:r>
        <w:rPr>
          <w:rFonts w:hint="eastAsia" w:ascii="宋体" w:hAnsi="宋体"/>
          <w:b/>
          <w:color w:val="000000"/>
          <w:sz w:val="24"/>
        </w:rPr>
        <w:t>5.8消防系统联动机构</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每季度全面测试一次：</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5.8.1联动报警试验。</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5.8.2手动报警器的功能试验。</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5.8.3各联动机构连接消防中心相应控制屏的讯号。</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5.8.4年度模拟火警消防系统联动机构的讯号综合试验。</w:t>
      </w:r>
    </w:p>
    <w:p>
      <w:pPr>
        <w:spacing w:line="400" w:lineRule="exact"/>
        <w:ind w:firstLine="480" w:firstLineChars="200"/>
        <w:outlineLvl w:val="2"/>
        <w:rPr>
          <w:rFonts w:hint="eastAsia" w:ascii="宋体" w:hAnsi="宋体"/>
          <w:color w:val="000000"/>
          <w:sz w:val="24"/>
        </w:rPr>
      </w:pPr>
      <w:r>
        <w:rPr>
          <w:rFonts w:hint="eastAsia" w:ascii="宋体" w:hAnsi="宋体"/>
          <w:color w:val="000000"/>
          <w:sz w:val="24"/>
        </w:rPr>
        <w:t>5.8.5以上未列的组合及构成部分的功能、讯号。</w:t>
      </w:r>
    </w:p>
    <w:p>
      <w:pPr>
        <w:spacing w:line="400" w:lineRule="exact"/>
        <w:ind w:firstLine="482" w:firstLineChars="200"/>
        <w:outlineLvl w:val="2"/>
        <w:rPr>
          <w:rFonts w:hint="eastAsia" w:ascii="宋体" w:hAnsi="宋体"/>
          <w:color w:val="000000"/>
          <w:sz w:val="24"/>
        </w:rPr>
      </w:pPr>
      <w:bookmarkStart w:id="134" w:name="_Toc10262"/>
      <w:r>
        <w:rPr>
          <w:rFonts w:hint="eastAsia" w:ascii="宋体" w:hAnsi="宋体"/>
          <w:b/>
          <w:color w:val="000000"/>
          <w:sz w:val="24"/>
        </w:rPr>
        <w:t>6维保要求</w:t>
      </w:r>
      <w:r>
        <w:rPr>
          <w:rFonts w:hint="eastAsia" w:ascii="宋体" w:hAnsi="宋体"/>
          <w:color w:val="000000"/>
          <w:sz w:val="24"/>
        </w:rPr>
        <w:t>：</w:t>
      </w:r>
      <w:bookmarkEnd w:id="134"/>
    </w:p>
    <w:p>
      <w:pPr>
        <w:spacing w:line="400" w:lineRule="exact"/>
        <w:ind w:firstLine="480" w:firstLineChars="200"/>
        <w:rPr>
          <w:rFonts w:hint="eastAsia" w:ascii="宋体" w:hAnsi="宋体" w:eastAsia="宋体"/>
          <w:color w:val="000000"/>
          <w:sz w:val="24"/>
          <w:lang w:eastAsia="zh-CN"/>
        </w:rPr>
      </w:pPr>
      <w:r>
        <w:rPr>
          <w:rFonts w:hint="eastAsia" w:ascii="宋体" w:hAnsi="宋体"/>
          <w:color w:val="000000"/>
          <w:sz w:val="24"/>
        </w:rPr>
        <w:t>（1）投标人投标前须进行现场踏勘，了解结合现状预计检修及维保费用进行报价。合同签订一个月内，对</w:t>
      </w:r>
      <w:r>
        <w:rPr>
          <w:rFonts w:hint="eastAsia" w:ascii="宋体" w:hAnsi="宋体"/>
          <w:color w:val="000000"/>
          <w:sz w:val="24"/>
          <w:lang w:val="en-US" w:eastAsia="zh-CN"/>
        </w:rPr>
        <w:t>本</w:t>
      </w:r>
      <w:r>
        <w:rPr>
          <w:rFonts w:hint="eastAsia" w:ascii="宋体" w:hAnsi="宋体"/>
          <w:color w:val="000000"/>
          <w:sz w:val="24"/>
        </w:rPr>
        <w:t>维保项目实施检查、恢复，</w:t>
      </w:r>
      <w:r>
        <w:rPr>
          <w:rFonts w:hint="eastAsia" w:ascii="宋体" w:hAnsi="宋体"/>
          <w:color w:val="000000"/>
          <w:sz w:val="24"/>
          <w:lang w:val="en-US" w:eastAsia="zh-CN"/>
        </w:rPr>
        <w:t>保证</w:t>
      </w:r>
      <w:r>
        <w:rPr>
          <w:rFonts w:hint="eastAsia" w:ascii="宋体" w:hAnsi="宋体"/>
          <w:color w:val="000000"/>
          <w:sz w:val="24"/>
        </w:rPr>
        <w:t>各个系统正常工作</w:t>
      </w:r>
      <w:r>
        <w:rPr>
          <w:rFonts w:hint="eastAsia" w:ascii="宋体" w:hAnsi="宋体"/>
          <w:color w:val="000000"/>
          <w:sz w:val="24"/>
          <w:lang w:eastAsia="zh-CN"/>
        </w:rPr>
        <w:t>。</w:t>
      </w:r>
      <w:r>
        <w:rPr>
          <w:rFonts w:hint="eastAsia" w:ascii="宋体" w:hAnsi="宋体"/>
          <w:color w:val="000000"/>
          <w:sz w:val="24"/>
          <w:lang w:val="en-US" w:eastAsia="zh-CN"/>
        </w:rPr>
        <w:t>维保方</w:t>
      </w:r>
      <w:r>
        <w:rPr>
          <w:rFonts w:hint="eastAsia" w:ascii="宋体" w:hAnsi="宋体"/>
          <w:sz w:val="24"/>
        </w:rPr>
        <w:t>须在合同签订</w:t>
      </w:r>
      <w:r>
        <w:rPr>
          <w:rFonts w:hint="eastAsia" w:ascii="宋体" w:hAnsi="宋体"/>
          <w:sz w:val="24"/>
          <w:lang w:val="en-US" w:eastAsia="zh-CN"/>
        </w:rPr>
        <w:t>后</w:t>
      </w:r>
      <w:r>
        <w:rPr>
          <w:rFonts w:hint="eastAsia" w:ascii="宋体" w:hAnsi="宋体"/>
          <w:sz w:val="24"/>
        </w:rPr>
        <w:t>一个月内，对</w:t>
      </w:r>
      <w:r>
        <w:rPr>
          <w:rFonts w:hint="eastAsia" w:ascii="宋体" w:hAnsi="宋体"/>
          <w:sz w:val="24"/>
          <w:lang w:val="en-US" w:eastAsia="zh-CN"/>
        </w:rPr>
        <w:t>本</w:t>
      </w:r>
      <w:r>
        <w:rPr>
          <w:rFonts w:hint="eastAsia" w:ascii="宋体" w:hAnsi="宋体"/>
          <w:sz w:val="24"/>
        </w:rPr>
        <w:t>维保项目实施检查、恢复，</w:t>
      </w:r>
      <w:r>
        <w:rPr>
          <w:rFonts w:hint="eastAsia" w:ascii="宋体" w:hAnsi="宋体"/>
          <w:sz w:val="24"/>
          <w:lang w:val="en-US" w:eastAsia="zh-CN"/>
        </w:rPr>
        <w:t>确保</w:t>
      </w:r>
      <w:r>
        <w:rPr>
          <w:rFonts w:hint="eastAsia" w:ascii="宋体" w:hAnsi="宋体"/>
          <w:sz w:val="24"/>
        </w:rPr>
        <w:t>各个系统正常工作</w:t>
      </w:r>
      <w:r>
        <w:rPr>
          <w:rFonts w:hint="eastAsia" w:ascii="宋体" w:hAnsi="宋体"/>
          <w:sz w:val="24"/>
          <w:lang w:eastAsia="zh-CN"/>
        </w:rPr>
        <w:t>（</w:t>
      </w:r>
      <w:r>
        <w:rPr>
          <w:rFonts w:hint="eastAsia" w:ascii="宋体" w:hAnsi="宋体"/>
          <w:sz w:val="24"/>
          <w:lang w:val="en-US" w:eastAsia="zh-CN"/>
        </w:rPr>
        <w:t>此项费用包含在报价中</w:t>
      </w:r>
      <w:r>
        <w:rPr>
          <w:rFonts w:hint="eastAsia" w:ascii="宋体" w:hAnsi="宋体"/>
          <w:sz w:val="24"/>
          <w:lang w:eastAsia="zh-CN"/>
        </w:rPr>
        <w:t>）。</w:t>
      </w:r>
      <w:r>
        <w:rPr>
          <w:rFonts w:hint="eastAsia" w:ascii="宋体" w:hAnsi="宋体"/>
          <w:sz w:val="24"/>
          <w:lang w:val="en-US" w:eastAsia="zh-CN"/>
        </w:rPr>
        <w:t>如经检查存在重要零配件等需要更换的（200元以上的设备或配件材料），由</w:t>
      </w:r>
      <w:r>
        <w:rPr>
          <w:rFonts w:hint="eastAsia" w:ascii="宋体" w:hAnsi="宋体"/>
          <w:color w:val="000000"/>
          <w:sz w:val="24"/>
          <w:lang w:val="en-US" w:eastAsia="zh-CN"/>
        </w:rPr>
        <w:t>维保方</w:t>
      </w:r>
      <w:r>
        <w:rPr>
          <w:rFonts w:hint="eastAsia" w:ascii="宋体" w:hAnsi="宋体"/>
          <w:sz w:val="24"/>
          <w:lang w:val="en-US" w:eastAsia="zh-CN"/>
        </w:rPr>
        <w:t>列出清单并经采购人确认后由采购人负责采购，</w:t>
      </w:r>
      <w:r>
        <w:rPr>
          <w:rFonts w:hint="eastAsia" w:ascii="宋体" w:hAnsi="宋体"/>
          <w:color w:val="000000"/>
          <w:sz w:val="24"/>
          <w:lang w:val="en-US" w:eastAsia="zh-CN"/>
        </w:rPr>
        <w:t>维保方</w:t>
      </w:r>
      <w:r>
        <w:rPr>
          <w:rFonts w:hint="eastAsia" w:ascii="宋体" w:hAnsi="宋体"/>
          <w:sz w:val="24"/>
          <w:lang w:val="en-US" w:eastAsia="zh-CN"/>
        </w:rPr>
        <w:t>负责安装维修，安装维修费用包含在报价中，采购人不另行支付此项相关费用。</w:t>
      </w:r>
    </w:p>
    <w:p>
      <w:pPr>
        <w:spacing w:line="400" w:lineRule="exact"/>
        <w:ind w:firstLine="480" w:firstLineChars="200"/>
        <w:rPr>
          <w:rFonts w:hint="eastAsia" w:ascii="宋体" w:hAnsi="宋体"/>
          <w:color w:val="000000"/>
          <w:sz w:val="24"/>
        </w:rPr>
      </w:pPr>
      <w:r>
        <w:rPr>
          <w:rFonts w:hint="eastAsia" w:ascii="宋体" w:hAnsi="宋体"/>
          <w:color w:val="000000"/>
          <w:sz w:val="24"/>
        </w:rPr>
        <w:t>（2）维保人员必须持证上岗，严格按要求进行维保，及时做好维保记录，无条件接受招标人查看，并每月将上月维保记录汇总后报招标人。</w:t>
      </w:r>
    </w:p>
    <w:p>
      <w:pPr>
        <w:spacing w:line="400" w:lineRule="exact"/>
        <w:ind w:firstLine="480" w:firstLineChars="200"/>
        <w:rPr>
          <w:rFonts w:hint="eastAsia" w:ascii="宋体" w:hAnsi="宋体"/>
          <w:color w:val="000000"/>
          <w:sz w:val="24"/>
        </w:rPr>
      </w:pPr>
      <w:r>
        <w:rPr>
          <w:rFonts w:hint="eastAsia" w:ascii="宋体" w:hAnsi="宋体"/>
          <w:color w:val="000000"/>
          <w:sz w:val="24"/>
        </w:rPr>
        <w:t>（3）对更换下来的配件等应交由采购人保管或由采购人与维保单位共同销毁。</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（4）维修保养所需的工器具、配套设施设备、耗材、人工等费用由中标人承担，所有更换的配件需为原厂正品配件</w:t>
      </w:r>
      <w:r>
        <w:rPr>
          <w:rFonts w:hint="eastAsia" w:ascii="宋体" w:hAnsi="宋体"/>
          <w:color w:val="000000"/>
          <w:sz w:val="24"/>
          <w:lang w:eastAsia="zh-CN"/>
        </w:rPr>
        <w:t>，</w:t>
      </w:r>
      <w:r>
        <w:rPr>
          <w:rFonts w:hint="eastAsia" w:ascii="宋体" w:hAnsi="宋体"/>
          <w:color w:val="000000"/>
          <w:sz w:val="24"/>
        </w:rPr>
        <w:t>维保期间需要更换的消防材料、设备、灭火器材、年更换材料设备</w:t>
      </w:r>
      <w:r>
        <w:rPr>
          <w:rFonts w:hint="eastAsia" w:ascii="宋体" w:hAnsi="宋体"/>
          <w:color w:val="000000"/>
          <w:sz w:val="24"/>
          <w:lang w:eastAsia="zh-CN"/>
        </w:rPr>
        <w:t>（</w:t>
      </w:r>
      <w:r>
        <w:rPr>
          <w:rFonts w:hint="eastAsia" w:ascii="宋体" w:hAnsi="宋体"/>
          <w:color w:val="000000"/>
          <w:sz w:val="24"/>
        </w:rPr>
        <w:t>维保</w:t>
      </w:r>
      <w:r>
        <w:rPr>
          <w:rFonts w:hint="eastAsia" w:ascii="宋体" w:hAnsi="宋体"/>
          <w:color w:val="000000"/>
          <w:sz w:val="24"/>
          <w:lang w:val="en-US" w:eastAsia="zh-CN"/>
        </w:rPr>
        <w:t>2</w:t>
      </w:r>
      <w:r>
        <w:rPr>
          <w:rFonts w:hint="eastAsia" w:ascii="宋体" w:hAnsi="宋体"/>
          <w:color w:val="000000"/>
          <w:sz w:val="24"/>
        </w:rPr>
        <w:t>00元以上的设备及配件的更换材料费</w:t>
      </w:r>
      <w:r>
        <w:rPr>
          <w:rFonts w:hint="eastAsia" w:ascii="宋体" w:hAnsi="宋体"/>
          <w:color w:val="000000"/>
          <w:sz w:val="24"/>
          <w:lang w:eastAsia="zh-CN"/>
        </w:rPr>
        <w:t>）</w:t>
      </w:r>
      <w:r>
        <w:rPr>
          <w:rFonts w:hint="eastAsia" w:ascii="宋体" w:hAnsi="宋体"/>
          <w:color w:val="000000"/>
          <w:sz w:val="24"/>
        </w:rPr>
        <w:t>由招标人承担，中标人将需要更换的配件、设备等统计后报招标人审核，招标人提供器材后中标人在规定期限内更换到位</w:t>
      </w:r>
      <w:r>
        <w:rPr>
          <w:rFonts w:hint="eastAsia" w:ascii="宋体" w:hAnsi="宋体"/>
          <w:color w:val="000000"/>
          <w:sz w:val="24"/>
          <w:lang w:eastAsia="zh-CN"/>
        </w:rPr>
        <w:t>，</w:t>
      </w:r>
      <w:r>
        <w:rPr>
          <w:rFonts w:hint="eastAsia" w:ascii="宋体" w:hAnsi="宋体"/>
          <w:color w:val="000000"/>
          <w:sz w:val="24"/>
        </w:rPr>
        <w:t>安装费用含在本次报价中。</w:t>
      </w:r>
    </w:p>
    <w:p>
      <w:pPr>
        <w:spacing w:line="400" w:lineRule="exact"/>
        <w:ind w:firstLine="480" w:firstLineChars="200"/>
        <w:jc w:val="left"/>
        <w:rPr>
          <w:rFonts w:hint="eastAsia" w:ascii="宋体" w:hAnsi="宋体"/>
          <w:color w:val="000000"/>
          <w:sz w:val="24"/>
          <w:lang w:val="en-US" w:eastAsia="zh-CN"/>
        </w:rPr>
      </w:pPr>
      <w:r>
        <w:rPr>
          <w:rFonts w:hint="eastAsia" w:ascii="宋体" w:hAnsi="宋体"/>
          <w:color w:val="000000"/>
          <w:sz w:val="24"/>
          <w:lang w:eastAsia="zh-CN"/>
        </w:rPr>
        <w:t>（</w:t>
      </w:r>
      <w:r>
        <w:rPr>
          <w:rFonts w:hint="eastAsia" w:ascii="宋体" w:hAnsi="宋体"/>
          <w:color w:val="000000"/>
          <w:sz w:val="24"/>
          <w:lang w:val="en-US" w:eastAsia="zh-CN"/>
        </w:rPr>
        <w:t>5</w:t>
      </w:r>
      <w:r>
        <w:rPr>
          <w:rFonts w:hint="eastAsia" w:ascii="宋体" w:hAnsi="宋体"/>
          <w:color w:val="000000"/>
          <w:sz w:val="24"/>
          <w:lang w:eastAsia="zh-CN"/>
        </w:rPr>
        <w:t>）</w:t>
      </w:r>
      <w:r>
        <w:rPr>
          <w:rFonts w:hint="eastAsia" w:ascii="宋体" w:hAnsi="宋体"/>
          <w:color w:val="000000"/>
          <w:sz w:val="24"/>
          <w:lang w:val="en-US" w:eastAsia="zh-CN"/>
        </w:rPr>
        <w:t>其他事宜在保养合同中体现。</w:t>
      </w:r>
    </w:p>
    <w:p>
      <w:pPr>
        <w:spacing w:line="400" w:lineRule="exact"/>
        <w:ind w:firstLine="480" w:firstLineChars="200"/>
        <w:jc w:val="left"/>
        <w:rPr>
          <w:rFonts w:hint="eastAsia" w:ascii="宋体" w:hAnsi="宋体"/>
          <w:color w:val="000000"/>
          <w:sz w:val="24"/>
          <w:lang w:val="en-US" w:eastAsia="zh-CN"/>
        </w:rPr>
      </w:pPr>
      <w:r>
        <w:rPr>
          <w:rFonts w:hint="eastAsia" w:ascii="宋体" w:hAnsi="宋体"/>
          <w:color w:val="000000"/>
          <w:sz w:val="24"/>
          <w:lang w:val="en-US" w:eastAsia="zh-CN"/>
        </w:rPr>
        <w:t>（6）中标单位应向院方提交符合消防大队的日常管理台账等。</w:t>
      </w:r>
    </w:p>
    <w:p>
      <w:pPr>
        <w:spacing w:line="400" w:lineRule="exact"/>
        <w:ind w:firstLine="480" w:firstLineChars="200"/>
        <w:jc w:val="left"/>
        <w:rPr>
          <w:rFonts w:hint="eastAsia" w:ascii="宋体" w:hAnsi="宋体"/>
          <w:color w:val="000000"/>
          <w:sz w:val="24"/>
        </w:rPr>
      </w:pPr>
      <w:r>
        <w:rPr>
          <w:rFonts w:hint="eastAsia" w:ascii="宋体" w:hAnsi="宋体"/>
          <w:color w:val="000000"/>
          <w:sz w:val="24"/>
          <w:lang w:val="en-US" w:eastAsia="zh-CN"/>
        </w:rPr>
        <w:t>（7）负责所有关于消防安全的日报、月报、年报等相关报表工作。</w:t>
      </w:r>
      <w:r>
        <w:rPr>
          <w:rFonts w:hint="eastAsia" w:ascii="宋体" w:hAnsi="宋体"/>
          <w:color w:val="000000"/>
          <w:sz w:val="24"/>
        </w:rPr>
        <w:t xml:space="preserve">                                             </w:t>
      </w:r>
    </w:p>
    <w:p>
      <w:pPr>
        <w:pStyle w:val="3"/>
        <w:spacing w:line="900" w:lineRule="exact"/>
        <w:rPr>
          <w:rFonts w:hint="eastAsia" w:ascii="宋体" w:hAnsi="宋体" w:eastAsia="宋体"/>
          <w:b/>
          <w:color w:val="000000" w:themeColor="text1"/>
          <w:sz w:val="36"/>
          <w:szCs w:val="36"/>
          <w14:textFill>
            <w14:solidFill>
              <w14:schemeClr w14:val="tx1"/>
            </w14:solidFill>
          </w14:textFill>
        </w:rPr>
      </w:pPr>
      <w:bookmarkStart w:id="135" w:name="_Toc120614281"/>
    </w:p>
    <w:p>
      <w:pPr>
        <w:pStyle w:val="3"/>
        <w:spacing w:line="900" w:lineRule="exact"/>
        <w:jc w:val="both"/>
        <w:rPr>
          <w:rFonts w:hint="eastAsia" w:ascii="宋体" w:hAnsi="宋体" w:eastAsia="宋体"/>
          <w:b/>
          <w:color w:val="000000" w:themeColor="text1"/>
          <w:sz w:val="36"/>
          <w:szCs w:val="36"/>
          <w14:textFill>
            <w14:solidFill>
              <w14:schemeClr w14:val="tx1"/>
            </w14:solidFill>
          </w14:textFill>
        </w:rPr>
      </w:pPr>
    </w:p>
    <w:p>
      <w:pPr>
        <w:rPr>
          <w:rFonts w:hint="eastAsia" w:ascii="宋体" w:hAnsi="宋体" w:eastAsia="宋体"/>
          <w:b/>
          <w:color w:val="000000" w:themeColor="text1"/>
          <w:sz w:val="36"/>
          <w:szCs w:val="36"/>
          <w14:textFill>
            <w14:solidFill>
              <w14:schemeClr w14:val="tx1"/>
            </w14:solidFill>
          </w14:textFill>
        </w:rPr>
      </w:pPr>
    </w:p>
    <w:p>
      <w:pPr>
        <w:rPr>
          <w:rFonts w:hint="eastAsia" w:ascii="宋体" w:hAnsi="宋体" w:eastAsia="宋体"/>
          <w:b/>
          <w:color w:val="000000" w:themeColor="text1"/>
          <w:sz w:val="36"/>
          <w:szCs w:val="36"/>
          <w14:textFill>
            <w14:solidFill>
              <w14:schemeClr w14:val="tx1"/>
            </w14:solidFill>
          </w14:textFill>
        </w:rPr>
      </w:pPr>
    </w:p>
    <w:p>
      <w:pPr>
        <w:rPr>
          <w:rFonts w:hint="eastAsia" w:ascii="宋体" w:hAnsi="宋体" w:eastAsia="宋体"/>
          <w:b/>
          <w:color w:val="000000" w:themeColor="text1"/>
          <w:sz w:val="36"/>
          <w:szCs w:val="36"/>
          <w14:textFill>
            <w14:solidFill>
              <w14:schemeClr w14:val="tx1"/>
            </w14:solidFill>
          </w14:textFill>
        </w:rPr>
      </w:pPr>
    </w:p>
    <w:p>
      <w:pPr>
        <w:rPr>
          <w:rFonts w:hint="eastAsia" w:ascii="宋体" w:hAnsi="宋体" w:eastAsia="宋体"/>
          <w:b/>
          <w:color w:val="000000" w:themeColor="text1"/>
          <w:sz w:val="36"/>
          <w:szCs w:val="36"/>
          <w14:textFill>
            <w14:solidFill>
              <w14:schemeClr w14:val="tx1"/>
            </w14:solidFill>
          </w14:textFill>
        </w:rPr>
      </w:pPr>
    </w:p>
    <w:p>
      <w:pPr>
        <w:rPr>
          <w:rFonts w:hint="eastAsia" w:ascii="宋体" w:hAnsi="宋体" w:eastAsia="宋体"/>
          <w:b/>
          <w:color w:val="000000" w:themeColor="text1"/>
          <w:sz w:val="36"/>
          <w:szCs w:val="36"/>
          <w14:textFill>
            <w14:solidFill>
              <w14:schemeClr w14:val="tx1"/>
            </w14:solidFill>
          </w14:textFill>
        </w:rPr>
      </w:pPr>
    </w:p>
    <w:p>
      <w:pPr>
        <w:rPr>
          <w:rFonts w:hint="eastAsia" w:ascii="宋体" w:hAnsi="宋体" w:eastAsia="宋体"/>
          <w:b/>
          <w:color w:val="000000" w:themeColor="text1"/>
          <w:sz w:val="36"/>
          <w:szCs w:val="36"/>
          <w14:textFill>
            <w14:solidFill>
              <w14:schemeClr w14:val="tx1"/>
            </w14:solidFill>
          </w14:textFill>
        </w:rPr>
      </w:pPr>
    </w:p>
    <w:p>
      <w:pPr>
        <w:rPr>
          <w:rFonts w:hint="eastAsia"/>
        </w:rPr>
      </w:pPr>
    </w:p>
    <w:p>
      <w:pPr>
        <w:pStyle w:val="3"/>
        <w:spacing w:line="900" w:lineRule="exact"/>
        <w:rPr>
          <w:color w:val="000000" w:themeColor="text1"/>
          <w14:textFill>
            <w14:solidFill>
              <w14:schemeClr w14:val="tx1"/>
            </w14:solidFill>
          </w14:textFill>
        </w:rPr>
      </w:pPr>
      <w:r>
        <w:rPr>
          <w:rFonts w:hint="eastAsia" w:ascii="宋体" w:hAnsi="宋体" w:eastAsia="宋体"/>
          <w:b/>
          <w:color w:val="000000" w:themeColor="text1"/>
          <w:sz w:val="36"/>
          <w:szCs w:val="36"/>
          <w14:textFill>
            <w14:solidFill>
              <w14:schemeClr w14:val="tx1"/>
            </w14:solidFill>
          </w14:textFill>
        </w:rPr>
        <w:t>第五章</w:t>
      </w:r>
      <w:r>
        <w:rPr>
          <w:rFonts w:ascii="宋体" w:hAnsi="宋体" w:eastAsia="宋体"/>
          <w:b/>
          <w:color w:val="000000" w:themeColor="text1"/>
          <w:sz w:val="36"/>
          <w:szCs w:val="36"/>
          <w14:textFill>
            <w14:solidFill>
              <w14:schemeClr w14:val="tx1"/>
            </w14:solidFill>
          </w14:textFill>
        </w:rPr>
        <w:t xml:space="preserve">  </w:t>
      </w:r>
      <w:r>
        <w:rPr>
          <w:rFonts w:hint="eastAsia" w:ascii="宋体" w:hAnsi="宋体" w:eastAsia="宋体"/>
          <w:b/>
          <w:color w:val="000000" w:themeColor="text1"/>
          <w:sz w:val="36"/>
          <w:szCs w:val="36"/>
          <w14:textFill>
            <w14:solidFill>
              <w14:schemeClr w14:val="tx1"/>
            </w14:solidFill>
          </w14:textFill>
        </w:rPr>
        <w:t>评标方法与评标标准</w:t>
      </w:r>
    </w:p>
    <w:p>
      <w:pPr>
        <w:snapToGrid w:val="0"/>
        <w:spacing w:line="500" w:lineRule="exact"/>
        <w:ind w:firstLine="482" w:firstLineChars="200"/>
        <w:rPr>
          <w:rFonts w:ascii="宋体" w:cs="Courier New"/>
          <w:b/>
          <w:bCs/>
          <w:color w:val="000000" w:themeColor="text1"/>
          <w:sz w:val="24"/>
          <w:szCs w:val="24"/>
          <w14:textFill>
            <w14:solidFill>
              <w14:schemeClr w14:val="tx1"/>
            </w14:solidFill>
          </w14:textFill>
        </w:rPr>
      </w:pPr>
      <w:r>
        <w:rPr>
          <w:rFonts w:hint="eastAsia" w:ascii="宋体" w:hAnsi="宋体" w:cs="Courier New"/>
          <w:b/>
          <w:bCs/>
          <w:color w:val="000000" w:themeColor="text1"/>
          <w:sz w:val="24"/>
          <w:szCs w:val="24"/>
          <w14:textFill>
            <w14:solidFill>
              <w14:schemeClr w14:val="tx1"/>
            </w14:solidFill>
          </w14:textFill>
        </w:rPr>
        <w:t>一、评标方法与定标原则</w:t>
      </w:r>
    </w:p>
    <w:p>
      <w:pPr>
        <w:snapToGrid w:val="0"/>
        <w:spacing w:line="500" w:lineRule="exact"/>
        <w:ind w:firstLine="480" w:firstLineChars="200"/>
        <w:rPr>
          <w:rFonts w:ascii="宋体" w:cs="Arial"/>
          <w:color w:val="000000" w:themeColor="text1"/>
          <w:kern w:val="0"/>
          <w:sz w:val="24"/>
          <w:szCs w:val="24"/>
          <w14:textFill>
            <w14:solidFill>
              <w14:schemeClr w14:val="tx1"/>
            </w14:solidFill>
          </w14:textFill>
        </w:rPr>
      </w:pPr>
      <w:r>
        <w:rPr>
          <w:rFonts w:hint="eastAsia" w:ascii="宋体" w:hAnsi="宋体" w:cs="Courier New"/>
          <w:bCs/>
          <w:color w:val="000000" w:themeColor="text1"/>
          <w:sz w:val="24"/>
          <w:szCs w:val="24"/>
          <w14:textFill>
            <w14:solidFill>
              <w14:schemeClr w14:val="tx1"/>
            </w14:solidFill>
          </w14:textFill>
        </w:rPr>
        <w:t>本项目采用</w:t>
      </w:r>
      <w:r>
        <w:rPr>
          <w:rFonts w:hint="eastAsia" w:ascii="宋体" w:hAnsi="宋体" w:cs="Courier New"/>
          <w:bCs/>
          <w:color w:val="000000" w:themeColor="text1"/>
          <w:sz w:val="24"/>
          <w:szCs w:val="24"/>
          <w:u w:val="single"/>
          <w14:textFill>
            <w14:solidFill>
              <w14:schemeClr w14:val="tx1"/>
            </w14:solidFill>
          </w14:textFill>
        </w:rPr>
        <w:t xml:space="preserve"> 经评审的最低价</w:t>
      </w:r>
      <w:r>
        <w:rPr>
          <w:rFonts w:hint="eastAsia" w:ascii="宋体" w:hAnsi="宋体" w:cs="Courier New"/>
          <w:bCs/>
          <w:color w:val="000000" w:themeColor="text1"/>
          <w:sz w:val="24"/>
          <w:szCs w:val="24"/>
          <w14:textFill>
            <w14:solidFill>
              <w14:schemeClr w14:val="tx1"/>
            </w14:solidFill>
          </w14:textFill>
        </w:rPr>
        <w:t>法。</w:t>
      </w:r>
      <w:r>
        <w:rPr>
          <w:rFonts w:hint="eastAsia" w:ascii="宋体" w:hAnsi="宋体" w:cs="Arial"/>
          <w:color w:val="000000" w:themeColor="text1"/>
          <w:kern w:val="0"/>
          <w:sz w:val="24"/>
          <w:szCs w:val="24"/>
          <w14:textFill>
            <w14:solidFill>
              <w14:schemeClr w14:val="tx1"/>
            </w14:solidFill>
          </w14:textFill>
        </w:rPr>
        <w:t>投标文件满足招标文件全部实质性要求，且按照评审因素的量化指标评审报价最低的投标人为中标候选人。</w:t>
      </w:r>
    </w:p>
    <w:p>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right="-4" w:rightChars="-2" w:firstLine="480" w:firstLineChars="200"/>
        <w:rPr>
          <w:rFonts w:asci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评标结果按投标报价由低到高顺序排列。投标报价相同的，由评标委员会组织通过抽签的方式确定中标候选人的排序。投标文件满足招标文件全部实质性要求，且按照评审因素的量化指标投标报价最低的投标人为排名第一的中标候选人</w:t>
      </w:r>
      <w:r>
        <w:rPr>
          <w:rFonts w:hint="eastAsia" w:ascii="宋体" w:hAnsi="宋体" w:cs="Arial"/>
          <w:color w:val="000000" w:themeColor="text1"/>
          <w:kern w:val="0"/>
          <w:sz w:val="24"/>
          <w:szCs w:val="24"/>
          <w:lang w:eastAsia="zh-CN"/>
          <w14:textFill>
            <w14:solidFill>
              <w14:schemeClr w14:val="tx1"/>
            </w14:solidFill>
          </w14:textFill>
        </w:rPr>
        <w:t>（</w:t>
      </w:r>
      <w:r>
        <w:rPr>
          <w:rFonts w:hint="eastAsia" w:ascii="宋体" w:hAnsi="宋体" w:cs="Arial"/>
          <w:color w:val="000000" w:themeColor="text1"/>
          <w:kern w:val="0"/>
          <w:sz w:val="24"/>
          <w:szCs w:val="24"/>
          <w:lang w:val="en-US" w:eastAsia="zh-CN"/>
          <w14:textFill>
            <w14:solidFill>
              <w14:schemeClr w14:val="tx1"/>
            </w14:solidFill>
          </w14:textFill>
        </w:rPr>
        <w:t>如出现同等条件下，报价相同的，中标候选人由招标单位综合选取</w:t>
      </w:r>
      <w:r>
        <w:rPr>
          <w:rFonts w:hint="eastAsia" w:ascii="宋体" w:hAnsi="宋体" w:cs="Arial"/>
          <w:color w:val="000000" w:themeColor="text1"/>
          <w:kern w:val="0"/>
          <w:sz w:val="24"/>
          <w:szCs w:val="24"/>
          <w:lang w:eastAsia="zh-CN"/>
          <w14:textFill>
            <w14:solidFill>
              <w14:schemeClr w14:val="tx1"/>
            </w14:solidFill>
          </w14:textFill>
        </w:rPr>
        <w:t>）</w:t>
      </w:r>
      <w:r>
        <w:rPr>
          <w:rFonts w:hint="eastAsia" w:ascii="宋体" w:hAnsi="宋体" w:cs="Arial"/>
          <w:color w:val="000000" w:themeColor="text1"/>
          <w:kern w:val="0"/>
          <w:sz w:val="24"/>
          <w:szCs w:val="24"/>
          <w14:textFill>
            <w14:solidFill>
              <w14:schemeClr w14:val="tx1"/>
            </w14:solidFill>
          </w14:textFill>
        </w:rPr>
        <w:t>。</w:t>
      </w:r>
    </w:p>
    <w:p>
      <w:pPr>
        <w:pStyle w:val="7"/>
        <w:spacing w:before="0" w:after="0" w:line="500" w:lineRule="exact"/>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二、对投标文件的初审</w:t>
      </w:r>
    </w:p>
    <w:p>
      <w:pPr>
        <w:spacing w:line="5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投标文件初审分为资格审查和符合性审查。</w:t>
      </w:r>
    </w:p>
    <w:p>
      <w:pPr>
        <w:spacing w:line="500" w:lineRule="exact"/>
        <w:ind w:firstLine="482" w:firstLineChars="200"/>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资格审查</w:t>
      </w:r>
    </w:p>
    <w:p>
      <w:pPr>
        <w:spacing w:line="500" w:lineRule="exact"/>
        <w:ind w:firstLine="482" w:firstLineChars="200"/>
        <w:rPr>
          <w:rFonts w:ascii="宋体"/>
          <w:b/>
          <w:bCs/>
          <w:color w:val="FF0000"/>
          <w:sz w:val="24"/>
          <w:szCs w:val="24"/>
        </w:rPr>
      </w:pPr>
      <w:r>
        <w:rPr>
          <w:rFonts w:hint="eastAsia" w:ascii="宋体" w:hAnsi="宋体"/>
          <w:b/>
          <w:bCs/>
          <w:color w:val="FF0000"/>
          <w:sz w:val="24"/>
          <w:szCs w:val="24"/>
        </w:rPr>
        <w:t>开标结束后，采购人或者采购代理机构依法对投标人的资格进行审查。</w:t>
      </w:r>
    </w:p>
    <w:p>
      <w:pPr>
        <w:spacing w:line="5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审查投标文件中的资格、资信证明文件、投标保证金等，以确定投标人是否具备投标资格。（资格审查需提供的材料详见《资格信誉等证明文件要求》）</w:t>
      </w:r>
    </w:p>
    <w:p>
      <w:pPr>
        <w:spacing w:line="500" w:lineRule="exact"/>
        <w:ind w:firstLine="482" w:firstLineChars="200"/>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符合性审查</w:t>
      </w:r>
    </w:p>
    <w:p>
      <w:pPr>
        <w:spacing w:line="500" w:lineRule="exact"/>
        <w:ind w:firstLine="482" w:firstLineChars="200"/>
        <w:rPr>
          <w:rFonts w:ascii="宋体"/>
          <w:b/>
          <w:bCs/>
          <w:color w:val="FF0000"/>
          <w:sz w:val="24"/>
          <w:szCs w:val="24"/>
        </w:rPr>
      </w:pPr>
      <w:r>
        <w:rPr>
          <w:rFonts w:hint="eastAsia" w:ascii="宋体" w:hAnsi="宋体"/>
          <w:b/>
          <w:bCs/>
          <w:color w:val="FF0000"/>
          <w:sz w:val="24"/>
          <w:szCs w:val="24"/>
        </w:rPr>
        <w:t>评标委员会对符合资格的投标人的投标文件进行符合性审查。</w:t>
      </w:r>
    </w:p>
    <w:p>
      <w:pPr>
        <w:spacing w:line="5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依据招标文件的规定，从投标文件的有效性、完整性和对招标文件的响应程度进行审查，以确定其是否满足招标文件的实质性要求。</w:t>
      </w:r>
    </w:p>
    <w:p>
      <w:pPr>
        <w:spacing w:line="5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明确响应的投标应该是与招标文件要求的全部条款、条件和规格相符，没有重大偏离或保留的投标。</w:t>
      </w:r>
    </w:p>
    <w:p>
      <w:pPr>
        <w:spacing w:line="5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是否属于重大偏离由评标委员会按照少数服从多数的原则作出结论。认定</w:t>
      </w:r>
      <w:r>
        <w:rPr>
          <w:rFonts w:hint="eastAsia" w:ascii="宋体" w:hAnsi="宋体"/>
          <w:bCs/>
          <w:color w:val="000000" w:themeColor="text1"/>
          <w:sz w:val="24"/>
          <w:szCs w:val="24"/>
          <w14:textFill>
            <w14:solidFill>
              <w14:schemeClr w14:val="tx1"/>
            </w14:solidFill>
          </w14:textFill>
        </w:rPr>
        <w:t>评委决定投标文件的响应性只根据投标文件本身的内容，而不寻求外部的证据。</w:t>
      </w:r>
    </w:p>
    <w:p>
      <w:pPr>
        <w:spacing w:line="5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如果投标文件没有明确响应招标文件的要求，评标委员会将按无效投标处理，投标人不得通过修改或撤销不合要求的偏离或保留而使其投标成为明确响应的投标。</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评标委员会将对确定为明确响应的投标进行进一步审核，</w:t>
      </w:r>
      <w:r>
        <w:rPr>
          <w:rFonts w:hint="eastAsia" w:ascii="宋体" w:hAnsi="宋体" w:cs="Arial"/>
          <w:color w:val="000000" w:themeColor="text1"/>
          <w:kern w:val="0"/>
          <w:sz w:val="24"/>
          <w:szCs w:val="24"/>
          <w14:textFill>
            <w14:solidFill>
              <w14:schemeClr w14:val="tx1"/>
            </w14:solidFill>
          </w14:textFill>
        </w:rPr>
        <w:t>投标文件报价出现前后不一致的，除招标文件另有规定外，按照下列规定修正：</w:t>
      </w:r>
    </w:p>
    <w:p>
      <w:pPr>
        <w:spacing w:line="360" w:lineRule="auto"/>
        <w:ind w:firstLine="480" w:firstLineChars="200"/>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1.</w:t>
      </w:r>
      <w:r>
        <w:rPr>
          <w:rFonts w:hint="eastAsia" w:ascii="宋体" w:hAnsi="宋体" w:cs="Arial"/>
          <w:color w:val="000000" w:themeColor="text1"/>
          <w:kern w:val="0"/>
          <w:sz w:val="24"/>
          <w:szCs w:val="24"/>
          <w14:textFill>
            <w14:solidFill>
              <w14:schemeClr w14:val="tx1"/>
            </w14:solidFill>
          </w14:textFill>
        </w:rPr>
        <w:t>投标文件中开标一览表内容与投标文件中相应内容不一致的，以开标一览表为准；</w:t>
      </w:r>
    </w:p>
    <w:p>
      <w:pPr>
        <w:widowControl/>
        <w:spacing w:before="100" w:beforeAutospacing="1" w:after="240" w:line="360" w:lineRule="auto"/>
        <w:contextualSpacing/>
        <w:jc w:val="left"/>
        <w:rPr>
          <w:rFonts w:asci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　　</w:t>
      </w:r>
      <w:r>
        <w:rPr>
          <w:rFonts w:ascii="宋体" w:hAnsi="宋体"/>
          <w:bCs/>
          <w:color w:val="000000" w:themeColor="text1"/>
          <w:sz w:val="24"/>
          <w:szCs w:val="24"/>
          <w14:textFill>
            <w14:solidFill>
              <w14:schemeClr w14:val="tx1"/>
            </w14:solidFill>
          </w14:textFill>
        </w:rPr>
        <w:t>2.</w:t>
      </w:r>
      <w:r>
        <w:rPr>
          <w:rFonts w:hint="eastAsia" w:ascii="宋体" w:hAnsi="宋体" w:cs="Arial"/>
          <w:color w:val="000000" w:themeColor="text1"/>
          <w:kern w:val="0"/>
          <w:sz w:val="24"/>
          <w:szCs w:val="24"/>
          <w14:textFill>
            <w14:solidFill>
              <w14:schemeClr w14:val="tx1"/>
            </w14:solidFill>
          </w14:textFill>
        </w:rPr>
        <w:t>大写金额和小写金额不一致的，以大写金额为准；</w:t>
      </w:r>
    </w:p>
    <w:p>
      <w:pPr>
        <w:widowControl/>
        <w:spacing w:before="100" w:beforeAutospacing="1" w:after="240" w:line="360" w:lineRule="auto"/>
        <w:contextualSpacing/>
        <w:jc w:val="left"/>
        <w:rPr>
          <w:rFonts w:asci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　　</w:t>
      </w:r>
      <w:r>
        <w:rPr>
          <w:rFonts w:ascii="宋体" w:hAnsi="宋体"/>
          <w:bCs/>
          <w:color w:val="000000" w:themeColor="text1"/>
          <w:sz w:val="24"/>
          <w:szCs w:val="24"/>
          <w14:textFill>
            <w14:solidFill>
              <w14:schemeClr w14:val="tx1"/>
            </w14:solidFill>
          </w14:textFill>
        </w:rPr>
        <w:t>3.</w:t>
      </w:r>
      <w:r>
        <w:rPr>
          <w:rFonts w:hint="eastAsia" w:ascii="宋体" w:hAnsi="宋体" w:cs="Arial"/>
          <w:color w:val="000000" w:themeColor="text1"/>
          <w:kern w:val="0"/>
          <w:sz w:val="24"/>
          <w:szCs w:val="24"/>
          <w14:textFill>
            <w14:solidFill>
              <w14:schemeClr w14:val="tx1"/>
            </w14:solidFill>
          </w14:textFill>
        </w:rPr>
        <w:t>单价金额小数点或者百分比有明显错位的，以开标一览表的总价为准，并修改单价；</w:t>
      </w:r>
    </w:p>
    <w:p>
      <w:pPr>
        <w:widowControl/>
        <w:spacing w:before="100" w:beforeAutospacing="1" w:after="240" w:line="360" w:lineRule="auto"/>
        <w:contextualSpacing/>
        <w:jc w:val="left"/>
        <w:rPr>
          <w:rFonts w:ascii="宋体" w:cs="Arial"/>
          <w:kern w:val="0"/>
          <w:sz w:val="24"/>
          <w:szCs w:val="24"/>
        </w:rPr>
      </w:pPr>
      <w:r>
        <w:rPr>
          <w:rFonts w:hint="eastAsia" w:ascii="宋体" w:hAnsi="宋体" w:cs="Arial"/>
          <w:color w:val="000000" w:themeColor="text1"/>
          <w:kern w:val="0"/>
          <w:sz w:val="24"/>
          <w:szCs w:val="24"/>
          <w14:textFill>
            <w14:solidFill>
              <w14:schemeClr w14:val="tx1"/>
            </w14:solidFill>
          </w14:textFill>
        </w:rPr>
        <w:t>　</w:t>
      </w:r>
      <w:r>
        <w:rPr>
          <w:rFonts w:hint="eastAsia" w:ascii="宋体" w:hAnsi="宋体" w:cs="Arial"/>
          <w:kern w:val="0"/>
          <w:sz w:val="24"/>
          <w:szCs w:val="24"/>
        </w:rPr>
        <w:t>　</w:t>
      </w:r>
      <w:r>
        <w:rPr>
          <w:rFonts w:ascii="宋体" w:hAnsi="宋体"/>
          <w:bCs/>
          <w:sz w:val="24"/>
          <w:szCs w:val="24"/>
        </w:rPr>
        <w:t>4.</w:t>
      </w:r>
      <w:r>
        <w:rPr>
          <w:rFonts w:hint="eastAsia" w:ascii="宋体" w:hAnsi="宋体" w:cs="Arial"/>
          <w:kern w:val="0"/>
          <w:sz w:val="24"/>
          <w:szCs w:val="24"/>
        </w:rPr>
        <w:t>总价金额与按单价汇总金额不一致的，以单价金额计算结果为准。</w:t>
      </w:r>
    </w:p>
    <w:p>
      <w:pPr>
        <w:spacing w:line="360" w:lineRule="auto"/>
        <w:ind w:firstLine="480" w:firstLineChars="200"/>
        <w:rPr>
          <w:rFonts w:ascii="宋体" w:hAnsi="宋体" w:cs="Arial"/>
          <w:kern w:val="0"/>
          <w:sz w:val="24"/>
          <w:szCs w:val="24"/>
        </w:rPr>
      </w:pPr>
      <w:r>
        <w:rPr>
          <w:rFonts w:hint="eastAsia" w:ascii="宋体" w:hAnsi="宋体"/>
          <w:bCs/>
          <w:sz w:val="24"/>
          <w:szCs w:val="24"/>
        </w:rPr>
        <w:t>评标委员会将按上述修正错误的方法调整投标文件中的投标报价，</w:t>
      </w:r>
      <w:r>
        <w:rPr>
          <w:rFonts w:hint="eastAsia" w:ascii="宋体" w:hAnsi="宋体" w:cs="Arial"/>
          <w:kern w:val="0"/>
          <w:sz w:val="24"/>
          <w:szCs w:val="24"/>
        </w:rPr>
        <w:t>修正后的报价应当采用书面形式，并加盖公章，或者由法定代表人或其授权的代表签字，经投标人确认后产生约束力，投标人不确认的，其投标无效。</w:t>
      </w:r>
    </w:p>
    <w:p>
      <w:pPr>
        <w:spacing w:line="360" w:lineRule="auto"/>
        <w:ind w:firstLine="480" w:firstLineChars="200"/>
        <w:rPr>
          <w:rFonts w:ascii="宋体" w:cs="Arial"/>
          <w:color w:val="000000" w:themeColor="text1"/>
          <w:kern w:val="0"/>
          <w:sz w:val="24"/>
          <w:szCs w:val="24"/>
          <w14:textFill>
            <w14:solidFill>
              <w14:schemeClr w14:val="tx1"/>
            </w14:solidFill>
          </w14:textFill>
        </w:rPr>
      </w:pPr>
      <w:r>
        <w:rPr>
          <w:rFonts w:hint="eastAsia" w:ascii="宋体" w:hAnsi="宋体" w:cs="Arial"/>
          <w:kern w:val="0"/>
          <w:sz w:val="24"/>
          <w:szCs w:val="24"/>
        </w:rPr>
        <w:t>评标委员会认为投标人的报价明显低于其他通过符合性审查投标人的报价，有可能影响产品质量或者不能诚</w:t>
      </w:r>
      <w:r>
        <w:rPr>
          <w:rFonts w:hint="eastAsia" w:ascii="宋体" w:hAnsi="宋体" w:cs="Arial"/>
          <w:color w:val="000000" w:themeColor="text1"/>
          <w:kern w:val="0"/>
          <w:sz w:val="24"/>
          <w:szCs w:val="24"/>
          <w14:textFill>
            <w14:solidFill>
              <w14:schemeClr w14:val="tx1"/>
            </w14:solidFill>
          </w14:textFill>
        </w:rPr>
        <w:t>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500" w:lineRule="exact"/>
        <w:ind w:firstLine="480" w:firstLineChars="200"/>
        <w:rPr>
          <w:rFonts w:ascii="宋体" w:hAnsi="宋体" w:cs="Courier New"/>
          <w:bCs/>
          <w:color w:val="000000" w:themeColor="text1"/>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非单一产品采购，采购人根据采购项目技术构成、产品价格比重等合理确定核心产品，并在招标文件中载明。多家投标人提供的核心产品品牌相同的按上述规定处理。</w:t>
      </w:r>
    </w:p>
    <w:p>
      <w:pPr>
        <w:widowControl/>
        <w:jc w:val="left"/>
        <w:rPr>
          <w:rFonts w:ascii="宋体"/>
          <w:bCs/>
          <w:color w:val="000000" w:themeColor="text1"/>
          <w:sz w:val="36"/>
          <w:szCs w:val="36"/>
          <w14:textFill>
            <w14:solidFill>
              <w14:schemeClr w14:val="tx1"/>
            </w14:solidFill>
          </w14:textFill>
        </w:rPr>
      </w:pPr>
      <w:r>
        <w:rPr>
          <w:rFonts w:ascii="宋体"/>
          <w:bCs/>
          <w:color w:val="000000" w:themeColor="text1"/>
          <w:sz w:val="36"/>
          <w:szCs w:val="36"/>
          <w14:textFill>
            <w14:solidFill>
              <w14:schemeClr w14:val="tx1"/>
            </w14:solidFill>
          </w14:textFill>
        </w:rPr>
        <w:br w:type="page"/>
      </w:r>
    </w:p>
    <w:p>
      <w:pPr>
        <w:pStyle w:val="3"/>
        <w:spacing w:line="500" w:lineRule="exac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36"/>
          <w:szCs w:val="36"/>
          <w14:textFill>
            <w14:solidFill>
              <w14:schemeClr w14:val="tx1"/>
            </w14:solidFill>
          </w14:textFill>
        </w:rPr>
        <w:t>第六章投标</w:t>
      </w:r>
      <w:bookmarkEnd w:id="132"/>
      <w:bookmarkEnd w:id="133"/>
      <w:bookmarkEnd w:id="135"/>
      <w:r>
        <w:rPr>
          <w:rFonts w:hint="eastAsia" w:ascii="宋体" w:hAnsi="宋体" w:eastAsia="宋体"/>
          <w:bCs/>
          <w:color w:val="000000" w:themeColor="text1"/>
          <w:sz w:val="36"/>
          <w:szCs w:val="36"/>
          <w14:textFill>
            <w14:solidFill>
              <w14:schemeClr w14:val="tx1"/>
            </w14:solidFill>
          </w14:textFill>
        </w:rPr>
        <w:t>文件格式</w:t>
      </w:r>
    </w:p>
    <w:p>
      <w:pPr>
        <w:spacing w:line="500" w:lineRule="exact"/>
        <w:jc w:val="center"/>
        <w:rPr>
          <w:rFonts w:ascii="宋体"/>
          <w:b/>
          <w:color w:val="000000" w:themeColor="text1"/>
          <w:sz w:val="24"/>
          <w:szCs w:val="24"/>
          <w14:textFill>
            <w14:solidFill>
              <w14:schemeClr w14:val="tx1"/>
            </w14:solidFill>
          </w14:textFill>
        </w:rPr>
      </w:pPr>
      <w:bookmarkStart w:id="136" w:name="_Toc26554094"/>
      <w:bookmarkStart w:id="137" w:name="_Toc49090576"/>
      <w:bookmarkStart w:id="138" w:name="_Toc120614282"/>
    </w:p>
    <w:p>
      <w:pPr>
        <w:spacing w:line="720" w:lineRule="auto"/>
        <w:jc w:val="center"/>
        <w:rPr>
          <w:rFonts w:asci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投标文件</w:t>
      </w:r>
    </w:p>
    <w:p>
      <w:pPr>
        <w:spacing w:line="500" w:lineRule="exact"/>
        <w:jc w:val="center"/>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（正或副本）</w:t>
      </w:r>
    </w:p>
    <w:p>
      <w:pPr>
        <w:spacing w:line="500" w:lineRule="exact"/>
        <w:jc w:val="center"/>
        <w:rPr>
          <w:rFonts w:ascii="宋体"/>
          <w:b/>
          <w:color w:val="000000" w:themeColor="text1"/>
          <w:sz w:val="24"/>
          <w:szCs w:val="24"/>
          <w14:textFill>
            <w14:solidFill>
              <w14:schemeClr w14:val="tx1"/>
            </w14:solidFill>
          </w14:textFill>
        </w:rPr>
      </w:pPr>
    </w:p>
    <w:p>
      <w:pPr>
        <w:spacing w:line="500" w:lineRule="exact"/>
        <w:jc w:val="center"/>
        <w:rPr>
          <w:rFonts w:ascii="宋体"/>
          <w:b/>
          <w:color w:val="000000" w:themeColor="text1"/>
          <w:sz w:val="24"/>
          <w:szCs w:val="24"/>
          <w14:textFill>
            <w14:solidFill>
              <w14:schemeClr w14:val="tx1"/>
            </w14:solidFill>
          </w14:textFill>
        </w:rPr>
      </w:pPr>
    </w:p>
    <w:p>
      <w:pPr>
        <w:spacing w:line="500" w:lineRule="exact"/>
        <w:jc w:val="center"/>
        <w:rPr>
          <w:rFonts w:ascii="宋体"/>
          <w:b/>
          <w:color w:val="000000" w:themeColor="text1"/>
          <w:sz w:val="24"/>
          <w:szCs w:val="24"/>
          <w14:textFill>
            <w14:solidFill>
              <w14:schemeClr w14:val="tx1"/>
            </w14:solidFill>
          </w14:textFill>
        </w:rPr>
      </w:pPr>
    </w:p>
    <w:p>
      <w:pPr>
        <w:spacing w:line="500" w:lineRule="exact"/>
        <w:jc w:val="center"/>
        <w:rPr>
          <w:rFonts w:ascii="宋体"/>
          <w:b/>
          <w:color w:val="000000" w:themeColor="text1"/>
          <w:sz w:val="24"/>
          <w:szCs w:val="24"/>
          <w14:textFill>
            <w14:solidFill>
              <w14:schemeClr w14:val="tx1"/>
            </w14:solidFill>
          </w14:textFill>
        </w:rPr>
      </w:pPr>
    </w:p>
    <w:p>
      <w:pPr>
        <w:spacing w:line="500" w:lineRule="exact"/>
        <w:jc w:val="center"/>
        <w:rPr>
          <w:rFonts w:ascii="宋体"/>
          <w:b/>
          <w:color w:val="000000" w:themeColor="text1"/>
          <w:sz w:val="24"/>
          <w:szCs w:val="24"/>
          <w14:textFill>
            <w14:solidFill>
              <w14:schemeClr w14:val="tx1"/>
            </w14:solidFill>
          </w14:textFill>
        </w:rPr>
      </w:pPr>
    </w:p>
    <w:p>
      <w:pPr>
        <w:spacing w:line="500" w:lineRule="exact"/>
        <w:jc w:val="center"/>
        <w:rPr>
          <w:rFonts w:ascii="宋体"/>
          <w:b/>
          <w:color w:val="000000" w:themeColor="text1"/>
          <w:sz w:val="24"/>
          <w:szCs w:val="24"/>
          <w14:textFill>
            <w14:solidFill>
              <w14:schemeClr w14:val="tx1"/>
            </w14:solidFill>
          </w14:textFill>
        </w:rPr>
      </w:pPr>
    </w:p>
    <w:p>
      <w:pPr>
        <w:spacing w:line="500" w:lineRule="exact"/>
        <w:jc w:val="center"/>
        <w:rPr>
          <w:rFonts w:ascii="宋体"/>
          <w:b/>
          <w:color w:val="000000" w:themeColor="text1"/>
          <w:sz w:val="24"/>
          <w:szCs w:val="24"/>
          <w14:textFill>
            <w14:solidFill>
              <w14:schemeClr w14:val="tx1"/>
            </w14:solidFill>
          </w14:textFill>
        </w:rPr>
      </w:pPr>
    </w:p>
    <w:p>
      <w:pPr>
        <w:spacing w:line="500" w:lineRule="exact"/>
        <w:ind w:firstLine="1084" w:firstLineChars="300"/>
        <w:rPr>
          <w:rFonts w:ascii="宋体"/>
          <w:b/>
          <w:color w:val="000000" w:themeColor="text1"/>
          <w:sz w:val="36"/>
          <w:szCs w:val="36"/>
          <w:u w:val="single"/>
          <w14:textFill>
            <w14:solidFill>
              <w14:schemeClr w14:val="tx1"/>
            </w14:solidFill>
          </w14:textFill>
        </w:rPr>
      </w:pPr>
    </w:p>
    <w:p>
      <w:pPr>
        <w:spacing w:line="500" w:lineRule="exact"/>
        <w:ind w:firstLine="1084" w:firstLineChars="300"/>
        <w:rPr>
          <w:rFonts w:ascii="宋体"/>
          <w:b/>
          <w:color w:val="000000" w:themeColor="text1"/>
          <w:sz w:val="36"/>
          <w:szCs w:val="36"/>
          <w:u w:val="single"/>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项目名称：</w:t>
      </w:r>
    </w:p>
    <w:p>
      <w:pPr>
        <w:spacing w:line="500" w:lineRule="exact"/>
        <w:ind w:firstLine="1084" w:firstLineChars="300"/>
        <w:rPr>
          <w:rFonts w:ascii="宋体"/>
          <w:b/>
          <w:color w:val="000000" w:themeColor="text1"/>
          <w:sz w:val="36"/>
          <w:szCs w:val="36"/>
          <w:u w:val="single"/>
          <w14:textFill>
            <w14:solidFill>
              <w14:schemeClr w14:val="tx1"/>
            </w14:solidFill>
          </w14:textFill>
        </w:rPr>
      </w:pPr>
    </w:p>
    <w:p>
      <w:pPr>
        <w:spacing w:line="500" w:lineRule="exact"/>
        <w:rPr>
          <w:rFonts w:ascii="宋体"/>
          <w:b/>
          <w:color w:val="000000" w:themeColor="text1"/>
          <w:sz w:val="36"/>
          <w:szCs w:val="36"/>
          <w:u w:val="single"/>
          <w14:textFill>
            <w14:solidFill>
              <w14:schemeClr w14:val="tx1"/>
            </w14:solidFill>
          </w14:textFill>
        </w:rPr>
      </w:pPr>
      <w:r>
        <w:rPr>
          <w:rFonts w:ascii="宋体" w:hAnsi="宋体"/>
          <w:b/>
          <w:color w:val="000000" w:themeColor="text1"/>
          <w:sz w:val="36"/>
          <w:szCs w:val="36"/>
          <w14:textFill>
            <w14:solidFill>
              <w14:schemeClr w14:val="tx1"/>
            </w14:solidFill>
          </w14:textFill>
        </w:rPr>
        <w:t xml:space="preserve">      </w:t>
      </w:r>
      <w:r>
        <w:rPr>
          <w:rFonts w:hint="eastAsia" w:ascii="宋体" w:hAnsi="宋体"/>
          <w:b/>
          <w:color w:val="000000" w:themeColor="text1"/>
          <w:sz w:val="36"/>
          <w:szCs w:val="36"/>
          <w14:textFill>
            <w14:solidFill>
              <w14:schemeClr w14:val="tx1"/>
            </w14:solidFill>
          </w14:textFill>
        </w:rPr>
        <w:t>投标人名称</w:t>
      </w:r>
      <w:r>
        <w:rPr>
          <w:rFonts w:ascii="宋体" w:hAnsi="宋体"/>
          <w:b/>
          <w:color w:val="000000" w:themeColor="text1"/>
          <w:sz w:val="36"/>
          <w:szCs w:val="36"/>
          <w14:textFill>
            <w14:solidFill>
              <w14:schemeClr w14:val="tx1"/>
            </w14:solidFill>
          </w14:textFill>
        </w:rPr>
        <w:t xml:space="preserve"> </w:t>
      </w:r>
      <w:r>
        <w:rPr>
          <w:rFonts w:hint="eastAsia" w:ascii="宋体" w:hAnsi="宋体"/>
          <w:b/>
          <w:color w:val="000000" w:themeColor="text1"/>
          <w:sz w:val="36"/>
          <w:szCs w:val="36"/>
          <w14:textFill>
            <w14:solidFill>
              <w14:schemeClr w14:val="tx1"/>
            </w14:solidFill>
          </w14:textFill>
        </w:rPr>
        <w:t>：</w:t>
      </w:r>
    </w:p>
    <w:p>
      <w:pPr>
        <w:spacing w:line="500" w:lineRule="exact"/>
        <w:rPr>
          <w:rFonts w:ascii="宋体"/>
          <w:b/>
          <w:color w:val="000000" w:themeColor="text1"/>
          <w:sz w:val="36"/>
          <w:szCs w:val="36"/>
          <w:u w:val="single"/>
          <w14:textFill>
            <w14:solidFill>
              <w14:schemeClr w14:val="tx1"/>
            </w14:solidFill>
          </w14:textFill>
        </w:rPr>
      </w:pPr>
    </w:p>
    <w:p>
      <w:pPr>
        <w:spacing w:line="500" w:lineRule="exact"/>
        <w:rPr>
          <w:rFonts w:ascii="宋体"/>
          <w:b/>
          <w:color w:val="000000" w:themeColor="text1"/>
          <w:sz w:val="36"/>
          <w:szCs w:val="36"/>
          <w14:textFill>
            <w14:solidFill>
              <w14:schemeClr w14:val="tx1"/>
            </w14:solidFill>
          </w14:textFill>
        </w:rPr>
      </w:pPr>
      <w:r>
        <w:rPr>
          <w:rFonts w:ascii="宋体" w:hAnsi="宋体"/>
          <w:b/>
          <w:color w:val="000000" w:themeColor="text1"/>
          <w:sz w:val="36"/>
          <w:szCs w:val="36"/>
          <w14:textFill>
            <w14:solidFill>
              <w14:schemeClr w14:val="tx1"/>
            </w14:solidFill>
          </w14:textFill>
        </w:rPr>
        <w:t xml:space="preserve">      </w:t>
      </w:r>
      <w:r>
        <w:rPr>
          <w:rFonts w:hint="eastAsia" w:ascii="宋体" w:hAnsi="宋体"/>
          <w:b/>
          <w:color w:val="000000" w:themeColor="text1"/>
          <w:sz w:val="36"/>
          <w:szCs w:val="36"/>
          <w14:textFill>
            <w14:solidFill>
              <w14:schemeClr w14:val="tx1"/>
            </w14:solidFill>
          </w14:textFill>
        </w:rPr>
        <w:t>日  期</w:t>
      </w:r>
      <w:r>
        <w:rPr>
          <w:rFonts w:ascii="宋体" w:hAnsi="宋体"/>
          <w:b/>
          <w:color w:val="000000" w:themeColor="text1"/>
          <w:sz w:val="36"/>
          <w:szCs w:val="36"/>
          <w14:textFill>
            <w14:solidFill>
              <w14:schemeClr w14:val="tx1"/>
            </w14:solidFill>
          </w14:textFill>
        </w:rPr>
        <w:t xml:space="preserve"> </w:t>
      </w:r>
      <w:r>
        <w:rPr>
          <w:rFonts w:hint="eastAsia" w:ascii="宋体" w:hAnsi="宋体"/>
          <w:b/>
          <w:color w:val="000000" w:themeColor="text1"/>
          <w:sz w:val="36"/>
          <w:szCs w:val="36"/>
          <w14:textFill>
            <w14:solidFill>
              <w14:schemeClr w14:val="tx1"/>
            </w14:solidFill>
          </w14:textFill>
        </w:rPr>
        <w:t>：</w:t>
      </w:r>
    </w:p>
    <w:p>
      <w:pPr>
        <w:spacing w:line="500" w:lineRule="exact"/>
        <w:jc w:val="center"/>
        <w:rPr>
          <w:rFonts w:ascii="宋体"/>
          <w:b/>
          <w:bCs/>
          <w:color w:val="000000" w:themeColor="text1"/>
          <w:sz w:val="36"/>
          <w:szCs w:val="36"/>
          <w14:textFill>
            <w14:solidFill>
              <w14:schemeClr w14:val="tx1"/>
            </w14:solidFill>
          </w14:textFill>
        </w:rPr>
      </w:pPr>
    </w:p>
    <w:p>
      <w:pPr>
        <w:spacing w:line="500" w:lineRule="exact"/>
        <w:ind w:firstLine="480" w:firstLineChars="200"/>
        <w:rPr>
          <w:rFonts w:ascii="宋体"/>
          <w:color w:val="000000" w:themeColor="text1"/>
          <w:sz w:val="24"/>
          <w:szCs w:val="24"/>
          <w14:textFill>
            <w14:solidFill>
              <w14:schemeClr w14:val="tx1"/>
            </w14:solidFill>
          </w14:textFill>
        </w:rPr>
      </w:pPr>
    </w:p>
    <w:p>
      <w:pPr>
        <w:spacing w:line="500" w:lineRule="exact"/>
        <w:ind w:firstLine="480" w:firstLineChars="200"/>
        <w:rPr>
          <w:rFonts w:ascii="宋体"/>
          <w:color w:val="000000" w:themeColor="text1"/>
          <w:sz w:val="24"/>
          <w:szCs w:val="24"/>
          <w14:textFill>
            <w14:solidFill>
              <w14:schemeClr w14:val="tx1"/>
            </w14:solidFill>
          </w14:textFill>
        </w:rPr>
      </w:pPr>
    </w:p>
    <w:p>
      <w:pPr>
        <w:widowControl/>
        <w:jc w:val="left"/>
        <w:rPr>
          <w:rFonts w:ascii="宋体"/>
          <w:color w:val="000000" w:themeColor="text1"/>
          <w:sz w:val="24"/>
          <w:szCs w:val="24"/>
          <w14:textFill>
            <w14:solidFill>
              <w14:schemeClr w14:val="tx1"/>
            </w14:solidFill>
          </w14:textFill>
        </w:rPr>
      </w:pPr>
      <w:r>
        <w:rPr>
          <w:rFonts w:ascii="宋体"/>
          <w:color w:val="000000" w:themeColor="text1"/>
          <w:sz w:val="24"/>
          <w:szCs w:val="24"/>
          <w14:textFill>
            <w14:solidFill>
              <w14:schemeClr w14:val="tx1"/>
            </w14:solidFill>
          </w14:textFill>
        </w:rPr>
        <w:br w:type="page"/>
      </w:r>
    </w:p>
    <w:p>
      <w:pPr>
        <w:spacing w:line="500" w:lineRule="exact"/>
        <w:jc w:val="center"/>
        <w:rPr>
          <w:rFonts w:ascii="宋体"/>
          <w:b/>
          <w:bCs/>
          <w:color w:val="000000" w:themeColor="text1"/>
          <w:sz w:val="40"/>
          <w:szCs w:val="40"/>
          <w14:textFill>
            <w14:solidFill>
              <w14:schemeClr w14:val="tx1"/>
            </w14:solidFill>
          </w14:textFill>
        </w:rPr>
      </w:pPr>
      <w:r>
        <w:rPr>
          <w:rFonts w:hint="eastAsia" w:ascii="宋体" w:hAnsi="宋体"/>
          <w:b/>
          <w:bCs/>
          <w:color w:val="000000" w:themeColor="text1"/>
          <w:sz w:val="40"/>
          <w:szCs w:val="40"/>
          <w14:textFill>
            <w14:solidFill>
              <w14:schemeClr w14:val="tx1"/>
            </w14:solidFill>
          </w14:textFill>
        </w:rPr>
        <w:t>投标主要文件目录</w:t>
      </w:r>
    </w:p>
    <w:p>
      <w:pPr>
        <w:spacing w:line="500" w:lineRule="exact"/>
        <w:jc w:val="center"/>
        <w:rPr>
          <w:rFonts w:ascii="宋体"/>
          <w:b/>
          <w:bCs/>
          <w:color w:val="000000" w:themeColor="text1"/>
          <w:sz w:val="24"/>
          <w:szCs w:val="24"/>
          <w14:textFill>
            <w14:solidFill>
              <w14:schemeClr w14:val="tx1"/>
            </w14:solidFill>
          </w14:textFill>
        </w:rPr>
      </w:pPr>
    </w:p>
    <w:p>
      <w:pPr>
        <w:spacing w:line="660" w:lineRule="exact"/>
        <w:ind w:firstLine="560" w:firstLineChars="20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一、资格性和符合性检查响应对照表</w:t>
      </w:r>
    </w:p>
    <w:p>
      <w:pPr>
        <w:spacing w:line="660" w:lineRule="exact"/>
        <w:ind w:firstLine="562" w:firstLineChars="200"/>
        <w:rPr>
          <w:rFonts w:ascii="宋体"/>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二</w:t>
      </w:r>
      <w:r>
        <w:rPr>
          <w:rFonts w:hint="eastAsia" w:ascii="宋体" w:hAnsi="宋体"/>
          <w:color w:val="000000" w:themeColor="text1"/>
          <w:sz w:val="28"/>
          <w:szCs w:val="28"/>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资格信誉等证明文件</w:t>
      </w:r>
    </w:p>
    <w:p>
      <w:pPr>
        <w:spacing w:line="660" w:lineRule="exact"/>
        <w:ind w:firstLine="560" w:firstLineChars="20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三、投标函</w:t>
      </w:r>
    </w:p>
    <w:p>
      <w:pPr>
        <w:spacing w:line="660" w:lineRule="exact"/>
        <w:ind w:firstLine="560" w:firstLineChars="20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四</w:t>
      </w:r>
      <w:r>
        <w:rPr>
          <w:rFonts w:hint="eastAsia" w:ascii="宋体" w:hAnsi="宋体"/>
          <w:b/>
          <w:bCs/>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开标一览表</w:t>
      </w:r>
    </w:p>
    <w:p>
      <w:pPr>
        <w:spacing w:line="660" w:lineRule="exact"/>
        <w:ind w:firstLine="560" w:firstLineChars="20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五、报价清单</w:t>
      </w:r>
    </w:p>
    <w:p>
      <w:pPr>
        <w:widowControl/>
        <w:jc w:val="left"/>
        <w:rPr>
          <w:rFonts w:ascii="宋体"/>
          <w:b/>
          <w:color w:val="000000" w:themeColor="text1"/>
          <w:sz w:val="36"/>
          <w:szCs w:val="36"/>
          <w14:textFill>
            <w14:solidFill>
              <w14:schemeClr w14:val="tx1"/>
            </w14:solidFill>
          </w14:textFill>
        </w:rPr>
      </w:pPr>
    </w:p>
    <w:p>
      <w:pPr>
        <w:widowControl/>
        <w:jc w:val="left"/>
        <w:rPr>
          <w:rFonts w:ascii="宋体"/>
          <w:b/>
          <w:color w:val="000000" w:themeColor="text1"/>
          <w:sz w:val="36"/>
          <w:szCs w:val="36"/>
          <w14:textFill>
            <w14:solidFill>
              <w14:schemeClr w14:val="tx1"/>
            </w14:solidFill>
          </w14:textFill>
        </w:rPr>
      </w:pPr>
    </w:p>
    <w:p>
      <w:pPr>
        <w:widowControl/>
        <w:jc w:val="left"/>
        <w:rPr>
          <w:rFonts w:ascii="宋体"/>
          <w:b/>
          <w:color w:val="000000" w:themeColor="text1"/>
          <w:sz w:val="36"/>
          <w:szCs w:val="36"/>
          <w14:textFill>
            <w14:solidFill>
              <w14:schemeClr w14:val="tx1"/>
            </w14:solidFill>
          </w14:textFill>
        </w:rPr>
      </w:pPr>
    </w:p>
    <w:p>
      <w:pPr>
        <w:widowControl/>
        <w:jc w:val="left"/>
        <w:rPr>
          <w:rFonts w:ascii="宋体"/>
          <w:b/>
          <w:color w:val="000000" w:themeColor="text1"/>
          <w:sz w:val="36"/>
          <w:szCs w:val="36"/>
          <w14:textFill>
            <w14:solidFill>
              <w14:schemeClr w14:val="tx1"/>
            </w14:solidFill>
          </w14:textFill>
        </w:rPr>
      </w:pPr>
    </w:p>
    <w:p>
      <w:pPr>
        <w:widowControl/>
        <w:jc w:val="left"/>
        <w:rPr>
          <w:rFonts w:ascii="宋体"/>
          <w:b/>
          <w:color w:val="000000" w:themeColor="text1"/>
          <w:sz w:val="36"/>
          <w:szCs w:val="36"/>
          <w14:textFill>
            <w14:solidFill>
              <w14:schemeClr w14:val="tx1"/>
            </w14:solidFill>
          </w14:textFill>
        </w:rPr>
      </w:pPr>
    </w:p>
    <w:p>
      <w:pPr>
        <w:widowControl/>
        <w:jc w:val="left"/>
        <w:rPr>
          <w:rFonts w:ascii="宋体"/>
          <w:b/>
          <w:color w:val="000000" w:themeColor="text1"/>
          <w:sz w:val="36"/>
          <w:szCs w:val="36"/>
          <w14:textFill>
            <w14:solidFill>
              <w14:schemeClr w14:val="tx1"/>
            </w14:solidFill>
          </w14:textFill>
        </w:rPr>
      </w:pPr>
    </w:p>
    <w:p>
      <w:pPr>
        <w:widowControl/>
        <w:jc w:val="left"/>
        <w:rPr>
          <w:rFonts w:ascii="宋体"/>
          <w:b/>
          <w:color w:val="000000" w:themeColor="text1"/>
          <w:sz w:val="36"/>
          <w:szCs w:val="36"/>
          <w14:textFill>
            <w14:solidFill>
              <w14:schemeClr w14:val="tx1"/>
            </w14:solidFill>
          </w14:textFill>
        </w:rPr>
      </w:pPr>
    </w:p>
    <w:p>
      <w:pPr>
        <w:widowControl/>
        <w:jc w:val="left"/>
        <w:rPr>
          <w:rFonts w:ascii="宋体"/>
          <w:b/>
          <w:color w:val="000000" w:themeColor="text1"/>
          <w:sz w:val="36"/>
          <w:szCs w:val="36"/>
          <w14:textFill>
            <w14:solidFill>
              <w14:schemeClr w14:val="tx1"/>
            </w14:solidFill>
          </w14:textFill>
        </w:rPr>
      </w:pPr>
    </w:p>
    <w:p>
      <w:pPr>
        <w:widowControl/>
        <w:jc w:val="left"/>
        <w:rPr>
          <w:rFonts w:ascii="宋体"/>
          <w:b/>
          <w:color w:val="000000" w:themeColor="text1"/>
          <w:sz w:val="36"/>
          <w:szCs w:val="36"/>
          <w14:textFill>
            <w14:solidFill>
              <w14:schemeClr w14:val="tx1"/>
            </w14:solidFill>
          </w14:textFill>
        </w:rPr>
      </w:pPr>
    </w:p>
    <w:p>
      <w:pPr>
        <w:widowControl/>
        <w:jc w:val="left"/>
        <w:rPr>
          <w:rFonts w:ascii="宋体"/>
          <w:b/>
          <w:color w:val="000000" w:themeColor="text1"/>
          <w:sz w:val="36"/>
          <w:szCs w:val="36"/>
          <w14:textFill>
            <w14:solidFill>
              <w14:schemeClr w14:val="tx1"/>
            </w14:solidFill>
          </w14:textFill>
        </w:rPr>
      </w:pPr>
    </w:p>
    <w:p>
      <w:pPr>
        <w:widowControl/>
        <w:jc w:val="left"/>
        <w:rPr>
          <w:rFonts w:ascii="宋体"/>
          <w:b/>
          <w:color w:val="000000" w:themeColor="text1"/>
          <w:sz w:val="36"/>
          <w:szCs w:val="36"/>
          <w14:textFill>
            <w14:solidFill>
              <w14:schemeClr w14:val="tx1"/>
            </w14:solidFill>
          </w14:textFill>
        </w:rPr>
      </w:pPr>
    </w:p>
    <w:p>
      <w:pPr>
        <w:widowControl/>
        <w:jc w:val="left"/>
        <w:rPr>
          <w:rFonts w:ascii="宋体"/>
          <w:b/>
          <w:color w:val="000000" w:themeColor="text1"/>
          <w:sz w:val="36"/>
          <w:szCs w:val="36"/>
          <w14:textFill>
            <w14:solidFill>
              <w14:schemeClr w14:val="tx1"/>
            </w14:solidFill>
          </w14:textFill>
        </w:rPr>
      </w:pPr>
    </w:p>
    <w:p>
      <w:pPr>
        <w:pStyle w:val="2"/>
        <w:rPr>
          <w:rFonts w:ascii="宋体"/>
          <w:b/>
          <w:color w:val="000000" w:themeColor="text1"/>
          <w:sz w:val="36"/>
          <w:szCs w:val="36"/>
          <w14:textFill>
            <w14:solidFill>
              <w14:schemeClr w14:val="tx1"/>
            </w14:solidFill>
          </w14:textFill>
        </w:rPr>
      </w:pPr>
    </w:p>
    <w:p>
      <w:pPr>
        <w:pStyle w:val="2"/>
        <w:rPr>
          <w:rFonts w:ascii="宋体"/>
          <w:b/>
          <w:color w:val="000000" w:themeColor="text1"/>
          <w:sz w:val="36"/>
          <w:szCs w:val="36"/>
          <w14:textFill>
            <w14:solidFill>
              <w14:schemeClr w14:val="tx1"/>
            </w14:solidFill>
          </w14:textFill>
        </w:rPr>
      </w:pPr>
    </w:p>
    <w:p>
      <w:pPr>
        <w:pStyle w:val="2"/>
        <w:rPr>
          <w:rFonts w:ascii="宋体"/>
          <w:b/>
          <w:color w:val="000000" w:themeColor="text1"/>
          <w:sz w:val="36"/>
          <w:szCs w:val="36"/>
          <w14:textFill>
            <w14:solidFill>
              <w14:schemeClr w14:val="tx1"/>
            </w14:solidFill>
          </w14:textFill>
        </w:rPr>
      </w:pPr>
    </w:p>
    <w:p>
      <w:pPr>
        <w:pStyle w:val="2"/>
        <w:rPr>
          <w:rFonts w:ascii="宋体"/>
          <w:b/>
          <w:color w:val="000000" w:themeColor="text1"/>
          <w:sz w:val="36"/>
          <w:szCs w:val="36"/>
          <w14:textFill>
            <w14:solidFill>
              <w14:schemeClr w14:val="tx1"/>
            </w14:solidFill>
          </w14:textFill>
        </w:rPr>
      </w:pPr>
    </w:p>
    <w:p>
      <w:pPr>
        <w:snapToGrid w:val="0"/>
        <w:spacing w:before="50" w:after="50" w:line="500" w:lineRule="exact"/>
        <w:jc w:val="center"/>
        <w:rPr>
          <w:rFonts w:ascii="宋体"/>
          <w:b/>
          <w:bCs/>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一、</w:t>
      </w:r>
      <w:bookmarkEnd w:id="136"/>
      <w:bookmarkEnd w:id="137"/>
      <w:bookmarkEnd w:id="138"/>
      <w:r>
        <w:rPr>
          <w:rFonts w:hint="eastAsia" w:ascii="宋体" w:hAnsi="宋体"/>
          <w:b/>
          <w:bCs/>
          <w:color w:val="000000" w:themeColor="text1"/>
          <w:sz w:val="36"/>
          <w:szCs w:val="36"/>
          <w14:textFill>
            <w14:solidFill>
              <w14:schemeClr w14:val="tx1"/>
            </w14:solidFill>
          </w14:textFill>
        </w:rPr>
        <w:t>资格信誉等证明文件要求</w:t>
      </w:r>
    </w:p>
    <w:p>
      <w:pPr>
        <w:snapToGrid w:val="0"/>
        <w:spacing w:before="50" w:after="50" w:line="500" w:lineRule="exact"/>
        <w:rPr>
          <w:rFonts w:ascii="宋体"/>
          <w:i/>
          <w:color w:val="000000" w:themeColor="text1"/>
          <w:sz w:val="24"/>
          <w:szCs w:val="24"/>
          <w:u w:val="single"/>
          <w14:textFill>
            <w14:solidFill>
              <w14:schemeClr w14:val="tx1"/>
            </w14:solidFill>
          </w14:textFill>
        </w:rPr>
      </w:pPr>
    </w:p>
    <w:p>
      <w:pPr>
        <w:snapToGrid w:val="0"/>
        <w:spacing w:before="50" w:after="50" w:line="500" w:lineRule="exact"/>
        <w:ind w:firstLine="482" w:firstLineChars="200"/>
        <w:rPr>
          <w:rFonts w:ascii="宋体"/>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t>1</w:t>
      </w:r>
      <w:r>
        <w:rPr>
          <w:rFonts w:hint="eastAsia" w:ascii="宋体" w:hAnsi="宋体"/>
          <w:b/>
          <w:bCs/>
          <w:color w:val="000000" w:themeColor="text1"/>
          <w:sz w:val="24"/>
          <w:szCs w:val="24"/>
          <w14:textFill>
            <w14:solidFill>
              <w14:schemeClr w14:val="tx1"/>
            </w14:solidFill>
          </w14:textFill>
        </w:rPr>
        <w:t>、实质性资格证明文件目录</w:t>
      </w:r>
    </w:p>
    <w:p>
      <w:pPr>
        <w:snapToGrid w:val="0"/>
        <w:spacing w:line="500" w:lineRule="exact"/>
        <w:ind w:firstLine="482" w:firstLineChars="200"/>
        <w:rPr>
          <w:rFonts w:ascii="宋体" w:cs="Arial"/>
          <w:b/>
          <w:color w:val="000000" w:themeColor="text1"/>
          <w:sz w:val="24"/>
          <w:szCs w:val="24"/>
          <w:u w:val="single"/>
          <w14:textFill>
            <w14:solidFill>
              <w14:schemeClr w14:val="tx1"/>
            </w14:solidFill>
          </w14:textFill>
        </w:rPr>
      </w:pPr>
      <w:r>
        <w:rPr>
          <w:rFonts w:hint="eastAsia" w:ascii="宋体" w:hAnsi="宋体"/>
          <w:b/>
          <w:color w:val="000000" w:themeColor="text1"/>
          <w:sz w:val="24"/>
          <w:szCs w:val="24"/>
          <w:u w:val="single"/>
          <w14:textFill>
            <w14:solidFill>
              <w14:schemeClr w14:val="tx1"/>
            </w14:solidFill>
          </w14:textFill>
        </w:rPr>
        <w:t>文件</w:t>
      </w:r>
      <w:r>
        <w:rPr>
          <w:rFonts w:ascii="宋体" w:hAnsi="宋体"/>
          <w:b/>
          <w:color w:val="000000" w:themeColor="text1"/>
          <w:sz w:val="24"/>
          <w:szCs w:val="24"/>
          <w:u w:val="single"/>
          <w14:textFill>
            <w14:solidFill>
              <w14:schemeClr w14:val="tx1"/>
            </w14:solidFill>
          </w14:textFill>
        </w:rPr>
        <w:t>1</w:t>
      </w:r>
      <w:r>
        <w:rPr>
          <w:rFonts w:hint="eastAsia" w:ascii="宋体" w:hAnsi="宋体"/>
          <w:b/>
          <w:color w:val="000000" w:themeColor="text1"/>
          <w:sz w:val="24"/>
          <w:szCs w:val="24"/>
          <w:u w:val="single"/>
          <w14:textFill>
            <w14:solidFill>
              <w14:schemeClr w14:val="tx1"/>
            </w14:solidFill>
          </w14:textFill>
        </w:rPr>
        <w:t xml:space="preserve"> </w:t>
      </w:r>
      <w:r>
        <w:rPr>
          <w:rFonts w:hint="eastAsia" w:ascii="宋体" w:hAnsi="宋体" w:cs="Arial"/>
          <w:b/>
          <w:color w:val="000000" w:themeColor="text1"/>
          <w:sz w:val="24"/>
          <w:szCs w:val="24"/>
          <w:u w:val="single"/>
          <w14:textFill>
            <w14:solidFill>
              <w14:schemeClr w14:val="tx1"/>
            </w14:solidFill>
          </w14:textFill>
        </w:rPr>
        <w:t>法人或者其他组织的营业执照等证明文件，自然人的身份证明。（清晰可辨的复印件加盖企业公章）</w:t>
      </w:r>
    </w:p>
    <w:p>
      <w:pPr>
        <w:snapToGrid w:val="0"/>
        <w:spacing w:before="50" w:afterLines="50" w:line="500" w:lineRule="exact"/>
        <w:ind w:firstLine="482" w:firstLineChars="200"/>
        <w:jc w:val="left"/>
        <w:rPr>
          <w:rFonts w:ascii="宋体"/>
          <w:b/>
          <w:color w:val="000000" w:themeColor="text1"/>
          <w:sz w:val="24"/>
          <w:szCs w:val="24"/>
          <w:u w:val="single"/>
          <w14:textFill>
            <w14:solidFill>
              <w14:schemeClr w14:val="tx1"/>
            </w14:solidFill>
          </w14:textFill>
        </w:rPr>
      </w:pPr>
      <w:r>
        <w:rPr>
          <w:rFonts w:hint="eastAsia" w:ascii="宋体" w:hAnsi="宋体"/>
          <w:b/>
          <w:color w:val="000000" w:themeColor="text1"/>
          <w:sz w:val="24"/>
          <w:szCs w:val="24"/>
          <w:u w:val="single"/>
          <w14:textFill>
            <w14:solidFill>
              <w14:schemeClr w14:val="tx1"/>
            </w14:solidFill>
          </w14:textFill>
        </w:rPr>
        <w:t>文件</w:t>
      </w:r>
      <w:r>
        <w:rPr>
          <w:rFonts w:ascii="宋体" w:hAnsi="宋体"/>
          <w:b/>
          <w:color w:val="000000" w:themeColor="text1"/>
          <w:sz w:val="24"/>
          <w:szCs w:val="24"/>
          <w:u w:val="single"/>
          <w14:textFill>
            <w14:solidFill>
              <w14:schemeClr w14:val="tx1"/>
            </w14:solidFill>
          </w14:textFill>
        </w:rPr>
        <w:t>2</w:t>
      </w:r>
      <w:r>
        <w:rPr>
          <w:rFonts w:hint="eastAsia" w:ascii="宋体" w:hAnsi="宋体"/>
          <w:b/>
          <w:color w:val="000000" w:themeColor="text1"/>
          <w:sz w:val="24"/>
          <w:szCs w:val="24"/>
          <w:u w:val="single"/>
          <w14:textFill>
            <w14:solidFill>
              <w14:schemeClr w14:val="tx1"/>
            </w14:solidFill>
          </w14:textFill>
        </w:rPr>
        <w:t xml:space="preserve"> 投标人须在消防网中注册且能查询到的单位，单位类型为：消防设施维护保养检测。</w:t>
      </w:r>
      <w:r>
        <w:rPr>
          <w:rFonts w:hint="eastAsia" w:ascii="宋体" w:hAnsi="宋体" w:cs="Arial"/>
          <w:b/>
          <w:color w:val="000000" w:themeColor="text1"/>
          <w:sz w:val="24"/>
          <w:szCs w:val="24"/>
          <w:u w:val="single"/>
          <w14:textFill>
            <w14:solidFill>
              <w14:schemeClr w14:val="tx1"/>
            </w14:solidFill>
          </w14:textFill>
        </w:rPr>
        <w:t>（清晰可辨的</w:t>
      </w:r>
      <w:r>
        <w:rPr>
          <w:rFonts w:hint="eastAsia" w:ascii="宋体" w:hAnsi="宋体" w:cs="Arial"/>
          <w:b/>
          <w:color w:val="000000" w:themeColor="text1"/>
          <w:sz w:val="24"/>
          <w:szCs w:val="24"/>
          <w:u w:val="single"/>
          <w:lang w:eastAsia="zh-CN"/>
          <w14:textFill>
            <w14:solidFill>
              <w14:schemeClr w14:val="tx1"/>
            </w14:solidFill>
          </w14:textFill>
        </w:rPr>
        <w:t>网页截图</w:t>
      </w:r>
      <w:r>
        <w:rPr>
          <w:rFonts w:hint="eastAsia" w:ascii="宋体" w:hAnsi="宋体" w:cs="Arial"/>
          <w:b/>
          <w:color w:val="000000" w:themeColor="text1"/>
          <w:sz w:val="24"/>
          <w:szCs w:val="24"/>
          <w:u w:val="single"/>
          <w14:textFill>
            <w14:solidFill>
              <w14:schemeClr w14:val="tx1"/>
            </w14:solidFill>
          </w14:textFill>
        </w:rPr>
        <w:t>复印件加盖企业公章）</w:t>
      </w:r>
    </w:p>
    <w:p>
      <w:pPr>
        <w:snapToGrid w:val="0"/>
        <w:spacing w:before="50" w:afterLines="50" w:line="500" w:lineRule="exact"/>
        <w:ind w:firstLine="482" w:firstLineChars="200"/>
        <w:jc w:val="left"/>
        <w:rPr>
          <w:rFonts w:ascii="宋体" w:hAnsi="宋体" w:cs="Arial"/>
          <w:b/>
          <w:color w:val="000000" w:themeColor="text1"/>
          <w:sz w:val="24"/>
          <w:szCs w:val="24"/>
          <w:u w:val="single"/>
          <w14:textFill>
            <w14:solidFill>
              <w14:schemeClr w14:val="tx1"/>
            </w14:solidFill>
          </w14:textFill>
        </w:rPr>
      </w:pPr>
      <w:r>
        <w:rPr>
          <w:rFonts w:hint="eastAsia" w:ascii="宋体" w:hAnsi="宋体"/>
          <w:b/>
          <w:color w:val="000000" w:themeColor="text1"/>
          <w:sz w:val="24"/>
          <w:szCs w:val="24"/>
          <w:u w:val="single"/>
          <w14:textFill>
            <w14:solidFill>
              <w14:schemeClr w14:val="tx1"/>
            </w14:solidFill>
          </w14:textFill>
        </w:rPr>
        <w:t>文件</w:t>
      </w:r>
      <w:r>
        <w:rPr>
          <w:rFonts w:ascii="宋体" w:hAnsi="宋体"/>
          <w:b/>
          <w:color w:val="000000" w:themeColor="text1"/>
          <w:sz w:val="24"/>
          <w:szCs w:val="24"/>
          <w:u w:val="single"/>
          <w14:textFill>
            <w14:solidFill>
              <w14:schemeClr w14:val="tx1"/>
            </w14:solidFill>
          </w14:textFill>
        </w:rPr>
        <w:t>3</w:t>
      </w:r>
      <w:r>
        <w:rPr>
          <w:rFonts w:hint="eastAsia" w:ascii="宋体" w:hAnsi="宋体" w:cs="Arial"/>
          <w:b/>
          <w:color w:val="000000" w:themeColor="text1"/>
          <w:sz w:val="24"/>
          <w:szCs w:val="24"/>
          <w:u w:val="single"/>
          <w14:textFill>
            <w14:solidFill>
              <w14:schemeClr w14:val="tx1"/>
            </w14:solidFill>
          </w14:textFill>
        </w:rPr>
        <w:t>法人授权书（原件</w:t>
      </w:r>
      <w:r>
        <w:rPr>
          <w:rFonts w:ascii="宋体" w:hAnsi="宋体"/>
          <w:b/>
          <w:color w:val="000000" w:themeColor="text1"/>
          <w:sz w:val="24"/>
          <w:szCs w:val="24"/>
          <w:u w:val="single"/>
          <w14:textFill>
            <w14:solidFill>
              <w14:schemeClr w14:val="tx1"/>
            </w14:solidFill>
          </w14:textFill>
        </w:rPr>
        <w:t>,</w:t>
      </w:r>
      <w:r>
        <w:rPr>
          <w:rFonts w:hint="eastAsia" w:ascii="宋体" w:hAnsi="宋体" w:cs="Arial"/>
          <w:b/>
          <w:color w:val="000000" w:themeColor="text1"/>
          <w:sz w:val="24"/>
          <w:szCs w:val="24"/>
          <w:u w:val="single"/>
          <w14:textFill>
            <w14:solidFill>
              <w14:schemeClr w14:val="tx1"/>
            </w14:solidFill>
          </w14:textFill>
        </w:rPr>
        <w:t>格式见附表）（如有）</w:t>
      </w:r>
    </w:p>
    <w:p>
      <w:pPr>
        <w:snapToGrid w:val="0"/>
        <w:spacing w:before="50" w:afterLines="50" w:line="500" w:lineRule="exact"/>
        <w:ind w:firstLine="482"/>
        <w:jc w:val="left"/>
        <w:rPr>
          <w:rFonts w:ascii="宋体" w:hAnsi="宋体" w:cs="Arial"/>
          <w:b/>
          <w:color w:val="000000" w:themeColor="text1"/>
          <w:sz w:val="24"/>
          <w:szCs w:val="24"/>
          <w:u w:val="single"/>
          <w14:textFill>
            <w14:solidFill>
              <w14:schemeClr w14:val="tx1"/>
            </w14:solidFill>
          </w14:textFill>
        </w:rPr>
      </w:pPr>
      <w:r>
        <w:rPr>
          <w:rFonts w:hint="eastAsia" w:ascii="宋体" w:hAnsi="宋体"/>
          <w:b/>
          <w:color w:val="000000" w:themeColor="text1"/>
          <w:sz w:val="24"/>
          <w:szCs w:val="24"/>
          <w:u w:val="single"/>
          <w14:textFill>
            <w14:solidFill>
              <w14:schemeClr w14:val="tx1"/>
            </w14:solidFill>
          </w14:textFill>
        </w:rPr>
        <w:t>文件</w:t>
      </w:r>
      <w:r>
        <w:rPr>
          <w:rFonts w:hint="eastAsia" w:ascii="宋体" w:hAnsi="宋体"/>
          <w:b/>
          <w:color w:val="000000" w:themeColor="text1"/>
          <w:sz w:val="24"/>
          <w:szCs w:val="24"/>
          <w:u w:val="single"/>
          <w:lang w:val="en-US" w:eastAsia="zh-CN"/>
          <w14:textFill>
            <w14:solidFill>
              <w14:schemeClr w14:val="tx1"/>
            </w14:solidFill>
          </w14:textFill>
        </w:rPr>
        <w:t>4</w:t>
      </w:r>
      <w:r>
        <w:rPr>
          <w:rFonts w:hint="eastAsia" w:ascii="宋体" w:hAnsi="宋体"/>
          <w:b/>
          <w:color w:val="000000" w:themeColor="text1"/>
          <w:sz w:val="24"/>
          <w:szCs w:val="24"/>
          <w:u w:val="single"/>
          <w14:textFill>
            <w14:solidFill>
              <w14:schemeClr w14:val="tx1"/>
            </w14:solidFill>
          </w14:textFill>
        </w:rPr>
        <w:t xml:space="preserve"> </w:t>
      </w:r>
      <w:r>
        <w:rPr>
          <w:rFonts w:hint="eastAsia" w:ascii="宋体" w:hAnsi="宋体" w:cs="Arial"/>
          <w:b/>
          <w:color w:val="000000" w:themeColor="text1"/>
          <w:sz w:val="24"/>
          <w:szCs w:val="24"/>
          <w:u w:val="single"/>
          <w14:textFill>
            <w14:solidFill>
              <w14:schemeClr w14:val="tx1"/>
            </w14:solidFill>
          </w14:textFill>
        </w:rPr>
        <w:t>招标文件中规定要求提供的证明材料和投标人认为需要提供的其他材料</w:t>
      </w:r>
    </w:p>
    <w:p>
      <w:pPr>
        <w:snapToGrid w:val="0"/>
        <w:spacing w:before="50" w:afterLines="50"/>
        <w:ind w:firstLine="361" w:firstLineChars="150"/>
        <w:jc w:val="left"/>
        <w:rPr>
          <w:rFonts w:ascii="宋体" w:hAnsi="宋体"/>
          <w:b/>
          <w:color w:val="000000" w:themeColor="text1"/>
          <w:sz w:val="24"/>
          <w:szCs w:val="24"/>
          <w14:textFill>
            <w14:solidFill>
              <w14:schemeClr w14:val="tx1"/>
            </w14:solidFill>
          </w14:textFill>
        </w:rPr>
      </w:pPr>
    </w:p>
    <w:p>
      <w:pPr>
        <w:pStyle w:val="6"/>
        <w:spacing w:line="500" w:lineRule="exact"/>
        <w:jc w:val="center"/>
        <w:rPr>
          <w:rFonts w:ascii="宋体"/>
          <w:color w:val="000000" w:themeColor="text1"/>
          <w:sz w:val="36"/>
          <w:szCs w:val="36"/>
          <w14:textFill>
            <w14:solidFill>
              <w14:schemeClr w14:val="tx1"/>
            </w14:solidFill>
          </w14:textFill>
        </w:rPr>
      </w:pPr>
      <w:bookmarkStart w:id="139" w:name="_Toc120614284"/>
      <w:r>
        <w:rPr>
          <w:rFonts w:ascii="宋体"/>
          <w:color w:val="000000" w:themeColor="text1"/>
          <w:sz w:val="24"/>
          <w:szCs w:val="24"/>
          <w14:textFill>
            <w14:solidFill>
              <w14:schemeClr w14:val="tx1"/>
            </w14:solidFill>
          </w14:textFill>
        </w:rPr>
        <w:br w:type="page"/>
      </w:r>
      <w:r>
        <w:rPr>
          <w:rFonts w:hint="eastAsia" w:ascii="宋体" w:hAnsi="宋体"/>
          <w:color w:val="000000" w:themeColor="text1"/>
          <w:sz w:val="36"/>
          <w:szCs w:val="36"/>
          <w14:textFill>
            <w14:solidFill>
              <w14:schemeClr w14:val="tx1"/>
            </w14:solidFill>
          </w14:textFill>
        </w:rPr>
        <w:t>法人授权书</w:t>
      </w:r>
    </w:p>
    <w:p>
      <w:pPr>
        <w:pStyle w:val="85"/>
        <w:shd w:val="clear" w:color="auto" w:fill="auto"/>
        <w:spacing w:line="500" w:lineRule="exact"/>
        <w:ind w:firstLine="4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本授权书声明：</w:t>
      </w:r>
      <w:r>
        <w:rPr>
          <w:rFonts w:ascii="宋体" w:hAnsi="宋体"/>
          <w:color w:val="000000" w:themeColor="text1"/>
          <w14:textFill>
            <w14:solidFill>
              <w14:schemeClr w14:val="tx1"/>
            </w14:solidFill>
          </w14:textFill>
        </w:rPr>
        <w:t>____________</w:t>
      </w:r>
      <w:r>
        <w:rPr>
          <w:rFonts w:hint="eastAsia" w:ascii="宋体" w:hAnsi="宋体"/>
          <w:color w:val="000000" w:themeColor="text1"/>
          <w14:textFill>
            <w14:solidFill>
              <w14:schemeClr w14:val="tx1"/>
            </w14:solidFill>
          </w14:textFill>
        </w:rPr>
        <w:t>（投标人名称）授权</w:t>
      </w:r>
      <w:r>
        <w:rPr>
          <w:rFonts w:ascii="宋体" w:hAnsi="宋体"/>
          <w:color w:val="000000" w:themeColor="text1"/>
          <w14:textFill>
            <w14:solidFill>
              <w14:schemeClr w14:val="tx1"/>
            </w14:solidFill>
          </w14:textFill>
        </w:rPr>
        <w:t>________________</w:t>
      </w:r>
      <w:r>
        <w:rPr>
          <w:rFonts w:hint="eastAsia" w:ascii="宋体" w:hAnsi="宋体"/>
          <w:color w:val="000000" w:themeColor="text1"/>
          <w14:textFill>
            <w14:solidFill>
              <w14:schemeClr w14:val="tx1"/>
            </w14:solidFill>
          </w14:textFill>
        </w:rPr>
        <w:t>（被授权人姓名）为我方就</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项目采购活动的合法代理人，以本公司名义全权处理一切与该项目采购有关的事务。</w:t>
      </w:r>
    </w:p>
    <w:p>
      <w:pPr>
        <w:pStyle w:val="85"/>
        <w:shd w:val="clear" w:color="auto" w:fill="auto"/>
        <w:spacing w:line="500" w:lineRule="exact"/>
        <w:ind w:firstLine="4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本授权书于</w:t>
      </w:r>
      <w:r>
        <w:rPr>
          <w:rFonts w:ascii="宋体" w:hAnsi="宋体"/>
          <w:color w:val="000000" w:themeColor="text1"/>
          <w14:textFill>
            <w14:solidFill>
              <w14:schemeClr w14:val="tx1"/>
            </w14:solidFill>
          </w14:textFill>
        </w:rPr>
        <w:t>______</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____</w:t>
      </w:r>
      <w:r>
        <w:rPr>
          <w:rFonts w:hint="eastAsia" w:ascii="宋体" w:hAnsi="宋体"/>
          <w:color w:val="000000" w:themeColor="text1"/>
          <w14:textFill>
            <w14:solidFill>
              <w14:schemeClr w14:val="tx1"/>
            </w14:solidFill>
          </w14:textFill>
        </w:rPr>
        <w:t>月</w:t>
      </w:r>
      <w:r>
        <w:rPr>
          <w:rFonts w:ascii="宋体" w:hAnsi="宋体"/>
          <w:color w:val="000000" w:themeColor="text1"/>
          <w14:textFill>
            <w14:solidFill>
              <w14:schemeClr w14:val="tx1"/>
            </w14:solidFill>
          </w14:textFill>
        </w:rPr>
        <w:t>____</w:t>
      </w:r>
      <w:r>
        <w:rPr>
          <w:rFonts w:hint="eastAsia" w:ascii="宋体" w:hAnsi="宋体"/>
          <w:color w:val="000000" w:themeColor="text1"/>
          <w14:textFill>
            <w14:solidFill>
              <w14:schemeClr w14:val="tx1"/>
            </w14:solidFill>
          </w14:textFill>
        </w:rPr>
        <w:t>日起生效，特此声明。</w:t>
      </w:r>
    </w:p>
    <w:p>
      <w:pPr>
        <w:pStyle w:val="85"/>
        <w:shd w:val="clear" w:color="auto" w:fill="auto"/>
        <w:spacing w:line="500" w:lineRule="exac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p>
      <w:pPr>
        <w:pStyle w:val="85"/>
        <w:shd w:val="clear" w:color="auto" w:fill="auto"/>
        <w:spacing w:line="500" w:lineRule="exact"/>
        <w:ind w:firstLine="1200" w:firstLineChars="5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代理人（被授权人）：</w:t>
      </w:r>
      <w:r>
        <w:rPr>
          <w:rFonts w:ascii="宋体" w:hAnsi="宋体"/>
          <w:color w:val="000000" w:themeColor="text1"/>
          <w14:textFill>
            <w14:solidFill>
              <w14:schemeClr w14:val="tx1"/>
            </w14:solidFill>
          </w14:textFill>
        </w:rPr>
        <w:t>__________________</w:t>
      </w:r>
      <w:r>
        <w:rPr>
          <w:rFonts w:ascii="宋体" w:hAnsi="宋体"/>
          <w:color w:val="000000" w:themeColor="text1"/>
          <w:u w:val="single"/>
          <w14:textFill>
            <w14:solidFill>
              <w14:schemeClr w14:val="tx1"/>
            </w14:solidFill>
          </w14:textFill>
        </w:rPr>
        <w:t>_</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__</w:t>
      </w:r>
      <w:r>
        <w:rPr>
          <w:rFonts w:ascii="宋体" w:hAnsi="宋体"/>
          <w:color w:val="000000" w:themeColor="text1"/>
          <w14:textFill>
            <w14:solidFill>
              <w14:schemeClr w14:val="tx1"/>
            </w14:solidFill>
          </w14:textFill>
        </w:rPr>
        <w:t>__</w:t>
      </w:r>
    </w:p>
    <w:p>
      <w:pPr>
        <w:pStyle w:val="85"/>
        <w:shd w:val="clear" w:color="auto" w:fill="auto"/>
        <w:spacing w:line="500" w:lineRule="exac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单位名称：</w:t>
      </w:r>
      <w:r>
        <w:rPr>
          <w:rFonts w:ascii="宋体" w:hAnsi="宋体"/>
          <w:color w:val="000000" w:themeColor="text1"/>
          <w14:textFill>
            <w14:solidFill>
              <w14:schemeClr w14:val="tx1"/>
            </w14:solidFill>
          </w14:textFill>
        </w:rPr>
        <w:t>_____________________________________</w:t>
      </w:r>
    </w:p>
    <w:p>
      <w:pPr>
        <w:pStyle w:val="85"/>
        <w:shd w:val="clear" w:color="auto" w:fill="auto"/>
        <w:spacing w:line="500" w:lineRule="exact"/>
        <w:ind w:firstLine="480"/>
        <w:rPr>
          <w:rFonts w:ascii="宋体"/>
          <w:color w:val="000000" w:themeColor="text1"/>
          <w14:textFill>
            <w14:solidFill>
              <w14:schemeClr w14:val="tx1"/>
            </w14:solidFill>
          </w14:textFill>
        </w:rPr>
      </w:pPr>
    </w:p>
    <w:p>
      <w:pPr>
        <w:pStyle w:val="85"/>
        <w:shd w:val="clear" w:color="auto" w:fill="auto"/>
        <w:spacing w:line="500" w:lineRule="exac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授权单位盖章：</w:t>
      </w:r>
      <w:r>
        <w:rPr>
          <w:rFonts w:ascii="宋体" w:hAnsi="宋体"/>
          <w:color w:val="000000" w:themeColor="text1"/>
          <w14:textFill>
            <w14:solidFill>
              <w14:schemeClr w14:val="tx1"/>
            </w14:solidFill>
          </w14:textFill>
        </w:rPr>
        <w:t>_________________________________</w:t>
      </w:r>
    </w:p>
    <w:p>
      <w:pPr>
        <w:pStyle w:val="85"/>
        <w:shd w:val="clear" w:color="auto" w:fill="auto"/>
        <w:spacing w:line="500" w:lineRule="exact"/>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单位名称：</w:t>
      </w:r>
      <w:r>
        <w:rPr>
          <w:rFonts w:ascii="宋体" w:hAnsi="宋体"/>
          <w:color w:val="000000" w:themeColor="text1"/>
          <w14:textFill>
            <w14:solidFill>
              <w14:schemeClr w14:val="tx1"/>
            </w14:solidFill>
          </w14:textFill>
        </w:rPr>
        <w:t>_____________________________________</w:t>
      </w:r>
    </w:p>
    <w:p>
      <w:pPr>
        <w:pStyle w:val="85"/>
        <w:shd w:val="clear" w:color="auto" w:fill="auto"/>
        <w:spacing w:line="500" w:lineRule="exact"/>
        <w:ind w:firstLine="1080" w:firstLineChars="45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地</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址：</w:t>
      </w:r>
      <w:r>
        <w:rPr>
          <w:rFonts w:ascii="宋体" w:hAnsi="宋体"/>
          <w:color w:val="000000" w:themeColor="text1"/>
          <w14:textFill>
            <w14:solidFill>
              <w14:schemeClr w14:val="tx1"/>
            </w14:solidFill>
          </w14:textFill>
        </w:rPr>
        <w:t xml:space="preserve">_____________________________________                                       </w:t>
      </w:r>
    </w:p>
    <w:p>
      <w:pPr>
        <w:pStyle w:val="85"/>
        <w:shd w:val="clear" w:color="auto" w:fill="auto"/>
        <w:spacing w:line="500" w:lineRule="exact"/>
        <w:ind w:firstLine="1200" w:firstLineChars="5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期：</w:t>
      </w:r>
      <w:r>
        <w:rPr>
          <w:rFonts w:ascii="宋体" w:hAnsi="宋体"/>
          <w:color w:val="000000" w:themeColor="text1"/>
          <w14:textFill>
            <w14:solidFill>
              <w14:schemeClr w14:val="tx1"/>
            </w14:solidFill>
          </w14:textFill>
        </w:rPr>
        <w:t xml:space="preserve">_____________________________________ </w:t>
      </w:r>
    </w:p>
    <w:p>
      <w:pPr>
        <w:spacing w:line="560" w:lineRule="exact"/>
        <w:ind w:firstLine="240" w:firstLineChars="100"/>
        <w:jc w:val="center"/>
        <w:rPr>
          <w:rFonts w:ascii="宋体"/>
          <w:color w:val="000000" w:themeColor="text1"/>
          <w:sz w:val="24"/>
          <w:szCs w:val="24"/>
          <w14:textFill>
            <w14:solidFill>
              <w14:schemeClr w14:val="tx1"/>
            </w14:solidFill>
          </w14:textFill>
        </w:rPr>
      </w:pPr>
      <w:r>
        <w:rPr>
          <w:rFonts w:ascii="宋体"/>
          <w:color w:val="000000" w:themeColor="text1"/>
          <w:sz w:val="24"/>
          <w:szCs w:val="24"/>
          <w14:textFill>
            <w14:solidFill>
              <w14:schemeClr w14:val="tx1"/>
            </w14:solidFill>
          </w14:textFill>
        </w:rPr>
        <w:br w:type="page"/>
      </w:r>
    </w:p>
    <w:p>
      <w:pPr>
        <w:pStyle w:val="4"/>
        <w:spacing w:line="500" w:lineRule="exact"/>
        <w:rPr>
          <w:rFonts w:ascii="宋体" w:hAnsi="宋体" w:eastAsia="宋体" w:cs="Times New Roman"/>
          <w:bCs w:val="0"/>
          <w:color w:val="000000" w:themeColor="text1"/>
          <w:sz w:val="36"/>
          <w:szCs w:val="36"/>
          <w14:textFill>
            <w14:solidFill>
              <w14:schemeClr w14:val="tx1"/>
            </w14:solidFill>
          </w14:textFill>
        </w:rPr>
      </w:pPr>
      <w:r>
        <w:rPr>
          <w:rFonts w:hint="eastAsia" w:ascii="宋体" w:hAnsi="宋体" w:eastAsia="宋体"/>
          <w:b w:val="0"/>
          <w:color w:val="000000" w:themeColor="text1"/>
          <w:sz w:val="36"/>
          <w:szCs w:val="36"/>
          <w14:textFill>
            <w14:solidFill>
              <w14:schemeClr w14:val="tx1"/>
            </w14:solidFill>
          </w14:textFill>
        </w:rPr>
        <w:t>三、</w:t>
      </w:r>
      <w:r>
        <w:rPr>
          <w:rFonts w:hint="eastAsia" w:ascii="宋体" w:hAnsi="宋体" w:eastAsia="宋体" w:cs="Times New Roman"/>
          <w:bCs w:val="0"/>
          <w:color w:val="000000" w:themeColor="text1"/>
          <w:sz w:val="36"/>
          <w:szCs w:val="36"/>
          <w14:textFill>
            <w14:solidFill>
              <w14:schemeClr w14:val="tx1"/>
            </w14:solidFill>
          </w14:textFill>
        </w:rPr>
        <w:t>投标函格式</w:t>
      </w:r>
    </w:p>
    <w:p>
      <w:pPr>
        <w:pStyle w:val="72"/>
        <w:spacing w:before="0" w:after="0" w:line="480" w:lineRule="exact"/>
        <w:ind w:firstLine="0"/>
        <w:rPr>
          <w:rFonts w:ascii="宋体" w:hAnsi="宋体"/>
          <w:color w:val="000000" w:themeColor="text1"/>
          <w:kern w:val="2"/>
          <w:u w:val="single"/>
          <w14:textFill>
            <w14:solidFill>
              <w14:schemeClr w14:val="tx1"/>
            </w14:solidFill>
          </w14:textFill>
        </w:rPr>
      </w:pPr>
      <w:r>
        <w:rPr>
          <w:rFonts w:hint="eastAsia" w:ascii="宋体" w:hAnsi="宋体"/>
          <w:color w:val="000000" w:themeColor="text1"/>
          <w:kern w:val="2"/>
          <w14:textFill>
            <w14:solidFill>
              <w14:schemeClr w14:val="tx1"/>
            </w14:solidFill>
          </w14:textFill>
        </w:rPr>
        <w:t>致：</w:t>
      </w:r>
      <w:r>
        <w:rPr>
          <w:rFonts w:ascii="宋体" w:hAnsi="宋体"/>
          <w:color w:val="000000" w:themeColor="text1"/>
          <w:kern w:val="2"/>
          <w:u w:val="single"/>
          <w14:textFill>
            <w14:solidFill>
              <w14:schemeClr w14:val="tx1"/>
            </w14:solidFill>
          </w14:textFill>
        </w:rPr>
        <w:t xml:space="preserve">    </w:t>
      </w:r>
      <w:r>
        <w:rPr>
          <w:rFonts w:hint="eastAsia" w:ascii="宋体" w:hAnsi="宋体"/>
          <w:color w:val="000000" w:themeColor="text1"/>
          <w:kern w:val="2"/>
          <w:u w:val="single"/>
          <w14:textFill>
            <w14:solidFill>
              <w14:schemeClr w14:val="tx1"/>
            </w14:solidFill>
          </w14:textFill>
        </w:rPr>
        <w:t xml:space="preserve">           （采购人名称</w:t>
      </w:r>
      <w:r>
        <w:rPr>
          <w:rFonts w:ascii="宋体" w:hAnsi="宋体"/>
          <w:color w:val="000000" w:themeColor="text1"/>
          <w:kern w:val="2"/>
          <w:u w:val="single"/>
          <w14:textFill>
            <w14:solidFill>
              <w14:schemeClr w14:val="tx1"/>
            </w14:solidFill>
          </w14:textFill>
        </w:rPr>
        <w:t xml:space="preserve"> </w:t>
      </w:r>
      <w:r>
        <w:rPr>
          <w:rFonts w:hint="eastAsia" w:ascii="宋体" w:hAnsi="宋体"/>
          <w:color w:val="000000" w:themeColor="text1"/>
          <w:kern w:val="2"/>
          <w:u w:val="single"/>
          <w14:textFill>
            <w14:solidFill>
              <w14:schemeClr w14:val="tx1"/>
            </w14:solidFill>
          </w14:textFill>
        </w:rPr>
        <w:t>）</w:t>
      </w:r>
      <w:r>
        <w:rPr>
          <w:rFonts w:ascii="宋体" w:hAnsi="宋体"/>
          <w:color w:val="000000" w:themeColor="text1"/>
          <w:kern w:val="2"/>
          <w14:textFill>
            <w14:solidFill>
              <w14:schemeClr w14:val="tx1"/>
            </w14:solidFill>
          </w14:textFill>
        </w:rPr>
        <w:t xml:space="preserve"> </w:t>
      </w:r>
    </w:p>
    <w:p>
      <w:pPr>
        <w:pStyle w:val="72"/>
        <w:spacing w:before="0" w:after="0" w:line="480" w:lineRule="exact"/>
        <w:ind w:firstLineChars="200"/>
        <w:rPr>
          <w:rFonts w:ascii="宋体"/>
          <w:color w:val="000000" w:themeColor="text1"/>
          <w:kern w:val="2"/>
          <w14:textFill>
            <w14:solidFill>
              <w14:schemeClr w14:val="tx1"/>
            </w14:solidFill>
          </w14:textFill>
        </w:rPr>
      </w:pPr>
      <w:r>
        <w:rPr>
          <w:rFonts w:hint="eastAsia" w:ascii="宋体" w:hAnsi="宋体"/>
          <w:color w:val="000000" w:themeColor="text1"/>
          <w:kern w:val="2"/>
          <w14:textFill>
            <w14:solidFill>
              <w14:schemeClr w14:val="tx1"/>
            </w14:solidFill>
          </w14:textFill>
        </w:rPr>
        <w:t>根据贵方的</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(项目名称)</w:t>
      </w:r>
      <w:r>
        <w:rPr>
          <w:rFonts w:hint="eastAsia" w:ascii="宋体" w:hAnsi="宋体"/>
          <w:color w:val="000000" w:themeColor="text1"/>
          <w:kern w:val="2"/>
          <w14:textFill>
            <w14:solidFill>
              <w14:schemeClr w14:val="tx1"/>
            </w14:solidFill>
          </w14:textFill>
        </w:rPr>
        <w:t>招标文件，正式授权下述签字人</w:t>
      </w:r>
      <w:r>
        <w:rPr>
          <w:rFonts w:ascii="宋体" w:hAnsi="宋体"/>
          <w:color w:val="000000" w:themeColor="text1"/>
          <w:kern w:val="2"/>
          <w14:textFill>
            <w14:solidFill>
              <w14:schemeClr w14:val="tx1"/>
            </w14:solidFill>
          </w14:textFill>
        </w:rPr>
        <w:t>________(</w:t>
      </w:r>
      <w:r>
        <w:rPr>
          <w:rFonts w:hint="eastAsia" w:ascii="宋体" w:hAnsi="宋体"/>
          <w:color w:val="000000" w:themeColor="text1"/>
          <w:kern w:val="2"/>
          <w14:textFill>
            <w14:solidFill>
              <w14:schemeClr w14:val="tx1"/>
            </w14:solidFill>
          </w14:textFill>
        </w:rPr>
        <w:t>姓名</w:t>
      </w:r>
      <w:r>
        <w:rPr>
          <w:rFonts w:ascii="宋体" w:hAnsi="宋体"/>
          <w:color w:val="000000" w:themeColor="text1"/>
          <w:kern w:val="2"/>
          <w14:textFill>
            <w14:solidFill>
              <w14:schemeClr w14:val="tx1"/>
            </w14:solidFill>
          </w14:textFill>
        </w:rPr>
        <w:t>)</w:t>
      </w:r>
      <w:r>
        <w:rPr>
          <w:rFonts w:hint="eastAsia" w:ascii="宋体" w:hAnsi="宋体"/>
          <w:color w:val="000000" w:themeColor="text1"/>
          <w:kern w:val="2"/>
          <w14:textFill>
            <w14:solidFill>
              <w14:schemeClr w14:val="tx1"/>
            </w14:solidFill>
          </w14:textFill>
        </w:rPr>
        <w:t>代表我方</w:t>
      </w:r>
      <w:r>
        <w:rPr>
          <w:rFonts w:hint="eastAsia" w:ascii="宋体" w:hAnsi="宋体"/>
          <w:color w:val="000000" w:themeColor="text1"/>
          <w:kern w:val="2"/>
          <w:u w:val="single"/>
          <w:lang w:val="en-US" w:eastAsia="zh-CN"/>
          <w14:textFill>
            <w14:solidFill>
              <w14:schemeClr w14:val="tx1"/>
            </w14:solidFill>
          </w14:textFill>
        </w:rPr>
        <w:t xml:space="preserve">              </w:t>
      </w:r>
      <w:r>
        <w:rPr>
          <w:rFonts w:hint="eastAsia" w:ascii="宋体" w:hAnsi="宋体"/>
          <w:color w:val="000000" w:themeColor="text1"/>
          <w:kern w:val="2"/>
          <w14:textFill>
            <w14:solidFill>
              <w14:schemeClr w14:val="tx1"/>
            </w14:solidFill>
          </w14:textFill>
        </w:rPr>
        <w:t>（投标人名称），全权处理本次项目投标的有关事宜。</w:t>
      </w:r>
    </w:p>
    <w:p>
      <w:pPr>
        <w:pStyle w:val="72"/>
        <w:spacing w:before="0" w:after="0" w:line="480" w:lineRule="exact"/>
        <w:ind w:firstLineChars="200"/>
        <w:rPr>
          <w:rFonts w:ascii="宋体"/>
          <w:color w:val="000000" w:themeColor="text1"/>
          <w:kern w:val="2"/>
          <w14:textFill>
            <w14:solidFill>
              <w14:schemeClr w14:val="tx1"/>
            </w14:solidFill>
          </w14:textFill>
        </w:rPr>
      </w:pPr>
      <w:r>
        <w:rPr>
          <w:rFonts w:hint="eastAsia" w:ascii="宋体" w:hAnsi="宋体"/>
          <w:color w:val="000000" w:themeColor="text1"/>
          <w:kern w:val="2"/>
          <w14:textFill>
            <w14:solidFill>
              <w14:schemeClr w14:val="tx1"/>
            </w14:solidFill>
          </w14:textFill>
        </w:rPr>
        <w:t>据此函，</w:t>
      </w:r>
      <w:r>
        <w:rPr>
          <w:rFonts w:ascii="宋体" w:hAnsi="宋体"/>
          <w:color w:val="000000" w:themeColor="text1"/>
          <w:kern w:val="2"/>
          <w14:textFill>
            <w14:solidFill>
              <w14:schemeClr w14:val="tx1"/>
            </w14:solidFill>
          </w14:textFill>
        </w:rPr>
        <w:t>__________</w:t>
      </w:r>
      <w:r>
        <w:rPr>
          <w:rFonts w:hint="eastAsia" w:ascii="宋体" w:hAnsi="宋体"/>
          <w:color w:val="000000" w:themeColor="text1"/>
          <w:kern w:val="2"/>
          <w14:textFill>
            <w14:solidFill>
              <w14:schemeClr w14:val="tx1"/>
            </w14:solidFill>
          </w14:textFill>
        </w:rPr>
        <w:t>签字人兹宣布同意如下：</w:t>
      </w:r>
    </w:p>
    <w:p>
      <w:pPr>
        <w:pStyle w:val="72"/>
        <w:spacing w:before="0" w:after="0" w:line="480" w:lineRule="exact"/>
        <w:rPr>
          <w:rFonts w:ascii="宋体"/>
          <w:color w:val="000000" w:themeColor="text1"/>
          <w:kern w:val="2"/>
          <w14:textFill>
            <w14:solidFill>
              <w14:schemeClr w14:val="tx1"/>
            </w14:solidFill>
          </w14:textFill>
        </w:rPr>
      </w:pPr>
      <w:r>
        <w:rPr>
          <w:rFonts w:ascii="宋体" w:hAnsi="宋体"/>
          <w:color w:val="000000" w:themeColor="text1"/>
          <w:kern w:val="2"/>
          <w14:textFill>
            <w14:solidFill>
              <w14:schemeClr w14:val="tx1"/>
            </w14:solidFill>
          </w14:textFill>
        </w:rPr>
        <w:t>1.</w:t>
      </w:r>
      <w:r>
        <w:rPr>
          <w:rFonts w:hint="eastAsia" w:ascii="宋体" w:hAnsi="宋体"/>
          <w:color w:val="000000" w:themeColor="text1"/>
          <w:kern w:val="2"/>
          <w14:textFill>
            <w14:solidFill>
              <w14:schemeClr w14:val="tx1"/>
            </w14:solidFill>
          </w14:textFill>
        </w:rPr>
        <w:t>按招标文件规定的各项要求，向买方提供所需货物与服务。</w:t>
      </w:r>
    </w:p>
    <w:p>
      <w:pPr>
        <w:pStyle w:val="72"/>
        <w:spacing w:before="0" w:after="0" w:line="480" w:lineRule="exact"/>
        <w:ind w:firstLineChars="200"/>
        <w:rPr>
          <w:rFonts w:ascii="宋体"/>
          <w:color w:val="000000" w:themeColor="text1"/>
          <w:kern w:val="2"/>
          <w14:textFill>
            <w14:solidFill>
              <w14:schemeClr w14:val="tx1"/>
            </w14:solidFill>
          </w14:textFill>
        </w:rPr>
      </w:pPr>
      <w:r>
        <w:rPr>
          <w:rFonts w:ascii="宋体" w:hAnsi="宋体"/>
          <w:color w:val="000000" w:themeColor="text1"/>
          <w:kern w:val="2"/>
          <w14:textFill>
            <w14:solidFill>
              <w14:schemeClr w14:val="tx1"/>
            </w14:solidFill>
          </w14:textFill>
        </w:rPr>
        <w:t>2.</w:t>
      </w:r>
      <w:r>
        <w:rPr>
          <w:rFonts w:hint="eastAsia" w:ascii="宋体" w:hAnsi="宋体"/>
          <w:color w:val="000000" w:themeColor="text1"/>
          <w:kern w:val="2"/>
          <w14:textFill>
            <w14:solidFill>
              <w14:schemeClr w14:val="tx1"/>
            </w14:solidFill>
          </w14:textFill>
        </w:rPr>
        <w:t>我们完全理解贵方不一定将合同授予最低报价的投标人。</w:t>
      </w:r>
    </w:p>
    <w:p>
      <w:pPr>
        <w:pStyle w:val="72"/>
        <w:spacing w:before="0" w:after="0" w:line="480" w:lineRule="exact"/>
        <w:ind w:firstLineChars="200"/>
        <w:rPr>
          <w:rFonts w:ascii="宋体"/>
          <w:color w:val="000000" w:themeColor="text1"/>
          <w:kern w:val="2"/>
          <w14:textFill>
            <w14:solidFill>
              <w14:schemeClr w14:val="tx1"/>
            </w14:solidFill>
          </w14:textFill>
        </w:rPr>
      </w:pPr>
      <w:r>
        <w:rPr>
          <w:rFonts w:ascii="宋体" w:hAnsi="宋体"/>
          <w:color w:val="000000" w:themeColor="text1"/>
          <w:kern w:val="2"/>
          <w14:textFill>
            <w14:solidFill>
              <w14:schemeClr w14:val="tx1"/>
            </w14:solidFill>
          </w14:textFill>
        </w:rPr>
        <w:t>3.</w:t>
      </w:r>
      <w:r>
        <w:rPr>
          <w:rFonts w:hint="eastAsia" w:ascii="宋体" w:hAnsi="宋体"/>
          <w:color w:val="000000" w:themeColor="text1"/>
          <w:kern w:val="2"/>
          <w14:textFill>
            <w14:solidFill>
              <w14:schemeClr w14:val="tx1"/>
            </w14:solidFill>
          </w14:textFill>
        </w:rPr>
        <w:t>我们已详细审核全部招标文件及其有效补充文件，我们知道必须放弃提出含糊不清或误解问题的权利。</w:t>
      </w:r>
    </w:p>
    <w:p>
      <w:pPr>
        <w:pStyle w:val="72"/>
        <w:spacing w:before="0" w:after="0" w:line="480" w:lineRule="exact"/>
        <w:rPr>
          <w:rFonts w:ascii="宋体"/>
          <w:color w:val="000000" w:themeColor="text1"/>
          <w:kern w:val="2"/>
          <w14:textFill>
            <w14:solidFill>
              <w14:schemeClr w14:val="tx1"/>
            </w14:solidFill>
          </w14:textFill>
        </w:rPr>
      </w:pPr>
      <w:r>
        <w:rPr>
          <w:rFonts w:ascii="宋体" w:hAnsi="宋体"/>
          <w:color w:val="000000" w:themeColor="text1"/>
          <w:kern w:val="2"/>
          <w14:textFill>
            <w14:solidFill>
              <w14:schemeClr w14:val="tx1"/>
            </w14:solidFill>
          </w14:textFill>
        </w:rPr>
        <w:t>4.</w:t>
      </w:r>
      <w:r>
        <w:rPr>
          <w:rFonts w:hint="eastAsia" w:ascii="宋体" w:hAnsi="宋体"/>
          <w:color w:val="000000" w:themeColor="text1"/>
          <w:kern w:val="2"/>
          <w14:textFill>
            <w14:solidFill>
              <w14:schemeClr w14:val="tx1"/>
            </w14:solidFill>
          </w14:textFill>
        </w:rPr>
        <w:t>我们同意从规定的开标日期起遵循本投标文件，并在规定的投标有效期期满之前均具有约束力。</w:t>
      </w:r>
    </w:p>
    <w:p>
      <w:pPr>
        <w:pStyle w:val="72"/>
        <w:spacing w:before="0" w:after="0" w:line="480" w:lineRule="exact"/>
        <w:rPr>
          <w:rFonts w:ascii="宋体"/>
          <w:color w:val="000000" w:themeColor="text1"/>
          <w:kern w:val="2"/>
          <w14:textFill>
            <w14:solidFill>
              <w14:schemeClr w14:val="tx1"/>
            </w14:solidFill>
          </w14:textFill>
        </w:rPr>
      </w:pPr>
      <w:r>
        <w:rPr>
          <w:rFonts w:ascii="宋体" w:hAnsi="宋体"/>
          <w:color w:val="000000" w:themeColor="text1"/>
          <w:kern w:val="2"/>
          <w14:textFill>
            <w14:solidFill>
              <w14:schemeClr w14:val="tx1"/>
            </w14:solidFill>
          </w14:textFill>
        </w:rPr>
        <w:t>5.</w:t>
      </w:r>
      <w:r>
        <w:rPr>
          <w:rFonts w:hint="eastAsia" w:ascii="宋体" w:hAnsi="宋体"/>
          <w:color w:val="000000" w:themeColor="text1"/>
          <w:kern w:val="2"/>
          <w14:textFill>
            <w14:solidFill>
              <w14:schemeClr w14:val="tx1"/>
            </w14:solidFill>
          </w14:textFill>
        </w:rPr>
        <w:t>如果在开标后规定的投标有效期内撤销投标或中标后拒绝签订合同，我们的投标保证金可不予退还。</w:t>
      </w:r>
    </w:p>
    <w:p>
      <w:pPr>
        <w:pStyle w:val="72"/>
        <w:spacing w:before="0" w:after="0" w:line="480" w:lineRule="exact"/>
        <w:rPr>
          <w:rFonts w:ascii="宋体"/>
          <w:color w:val="000000" w:themeColor="text1"/>
          <w:kern w:val="2"/>
          <w14:textFill>
            <w14:solidFill>
              <w14:schemeClr w14:val="tx1"/>
            </w14:solidFill>
          </w14:textFill>
        </w:rPr>
      </w:pPr>
      <w:r>
        <w:rPr>
          <w:rFonts w:ascii="宋体" w:hAnsi="宋体"/>
          <w:color w:val="000000" w:themeColor="text1"/>
          <w:kern w:val="2"/>
          <w14:textFill>
            <w14:solidFill>
              <w14:schemeClr w14:val="tx1"/>
            </w14:solidFill>
          </w14:textFill>
        </w:rPr>
        <w:t>6.</w:t>
      </w:r>
      <w:r>
        <w:rPr>
          <w:rFonts w:hint="eastAsia" w:ascii="宋体" w:hAnsi="宋体"/>
          <w:color w:val="000000" w:themeColor="text1"/>
          <w:kern w:val="2"/>
          <w14:textFill>
            <w14:solidFill>
              <w14:schemeClr w14:val="tx1"/>
            </w14:solidFill>
          </w14:textFill>
        </w:rPr>
        <w:t>同意向贵方提供贵方可能另外要求的与投标有关的任何证据或资料，并保证我方已提供和将要提供的文件是真实的、准确的。</w:t>
      </w:r>
    </w:p>
    <w:p>
      <w:pPr>
        <w:pStyle w:val="72"/>
        <w:spacing w:before="0" w:after="0" w:line="480" w:lineRule="exact"/>
        <w:rPr>
          <w:rFonts w:ascii="宋体"/>
          <w:color w:val="000000" w:themeColor="text1"/>
          <w:kern w:val="2"/>
          <w14:textFill>
            <w14:solidFill>
              <w14:schemeClr w14:val="tx1"/>
            </w14:solidFill>
          </w14:textFill>
        </w:rPr>
      </w:pPr>
      <w:r>
        <w:rPr>
          <w:rFonts w:ascii="宋体" w:hAnsi="宋体"/>
          <w:color w:val="000000" w:themeColor="text1"/>
          <w:kern w:val="2"/>
          <w14:textFill>
            <w14:solidFill>
              <w14:schemeClr w14:val="tx1"/>
            </w14:solidFill>
          </w14:textFill>
        </w:rPr>
        <w:t>7.</w:t>
      </w:r>
      <w:r>
        <w:rPr>
          <w:rFonts w:hint="eastAsia" w:ascii="宋体" w:hAnsi="宋体"/>
          <w:color w:val="000000" w:themeColor="text1"/>
          <w:kern w:val="2"/>
          <w14:textFill>
            <w14:solidFill>
              <w14:schemeClr w14:val="tx1"/>
            </w14:solidFill>
          </w14:textFill>
        </w:rPr>
        <w:t>一旦我方中标</w:t>
      </w:r>
      <w:r>
        <w:rPr>
          <w:rFonts w:ascii="宋体" w:hAnsi="宋体"/>
          <w:color w:val="000000" w:themeColor="text1"/>
          <w:kern w:val="2"/>
          <w14:textFill>
            <w14:solidFill>
              <w14:schemeClr w14:val="tx1"/>
            </w14:solidFill>
          </w14:textFill>
        </w:rPr>
        <w:t>,</w:t>
      </w:r>
      <w:r>
        <w:rPr>
          <w:rFonts w:hint="eastAsia" w:ascii="宋体" w:hAnsi="宋体"/>
          <w:color w:val="000000" w:themeColor="text1"/>
          <w:kern w:val="2"/>
          <w14:textFill>
            <w14:solidFill>
              <w14:schemeClr w14:val="tx1"/>
            </w14:solidFill>
          </w14:textFill>
        </w:rPr>
        <w:t>我方将根据招标文件的规定，严格履行合同的责任和义务</w:t>
      </w:r>
      <w:r>
        <w:rPr>
          <w:rFonts w:ascii="宋体" w:hAnsi="宋体"/>
          <w:color w:val="000000" w:themeColor="text1"/>
          <w:kern w:val="2"/>
          <w14:textFill>
            <w14:solidFill>
              <w14:schemeClr w14:val="tx1"/>
            </w14:solidFill>
          </w14:textFill>
        </w:rPr>
        <w:t>,</w:t>
      </w:r>
      <w:r>
        <w:rPr>
          <w:rFonts w:hint="eastAsia" w:ascii="宋体" w:hAnsi="宋体"/>
          <w:color w:val="000000" w:themeColor="text1"/>
          <w:kern w:val="2"/>
          <w14:textFill>
            <w14:solidFill>
              <w14:schemeClr w14:val="tx1"/>
            </w14:solidFill>
          </w14:textFill>
        </w:rPr>
        <w:t>并保证在招标文件规定的时间完成项目，交付买方验收、使用。</w:t>
      </w:r>
    </w:p>
    <w:p>
      <w:pPr>
        <w:pStyle w:val="72"/>
        <w:spacing w:before="0" w:after="0" w:line="480" w:lineRule="exact"/>
        <w:ind w:left="425" w:firstLine="0"/>
        <w:rPr>
          <w:rFonts w:ascii="宋体"/>
          <w:color w:val="000000" w:themeColor="text1"/>
          <w:kern w:val="2"/>
          <w14:textFill>
            <w14:solidFill>
              <w14:schemeClr w14:val="tx1"/>
            </w14:solidFill>
          </w14:textFill>
        </w:rPr>
      </w:pPr>
      <w:r>
        <w:rPr>
          <w:rFonts w:ascii="宋体" w:hAnsi="宋体"/>
          <w:color w:val="000000" w:themeColor="text1"/>
          <w:kern w:val="2"/>
          <w14:textFill>
            <w14:solidFill>
              <w14:schemeClr w14:val="tx1"/>
            </w14:solidFill>
          </w14:textFill>
        </w:rPr>
        <w:t>8.</w:t>
      </w:r>
      <w:r>
        <w:rPr>
          <w:rFonts w:hint="eastAsia" w:ascii="宋体" w:hAnsi="宋体"/>
          <w:color w:val="000000" w:themeColor="text1"/>
          <w:kern w:val="2"/>
          <w14:textFill>
            <w14:solidFill>
              <w14:schemeClr w14:val="tx1"/>
            </w14:solidFill>
          </w14:textFill>
        </w:rPr>
        <w:t>与本投标有关的正式通讯地址为：</w:t>
      </w:r>
    </w:p>
    <w:p>
      <w:pPr>
        <w:pStyle w:val="72"/>
        <w:spacing w:before="0" w:after="0" w:line="480" w:lineRule="exact"/>
        <w:ind w:left="420" w:leftChars="200" w:firstLineChars="200"/>
        <w:rPr>
          <w:rFonts w:ascii="宋体"/>
          <w:color w:val="000000" w:themeColor="text1"/>
          <w:kern w:val="2"/>
          <w14:textFill>
            <w14:solidFill>
              <w14:schemeClr w14:val="tx1"/>
            </w14:solidFill>
          </w14:textFill>
        </w:rPr>
      </w:pPr>
      <w:r>
        <w:rPr>
          <w:rFonts w:hint="eastAsia" w:ascii="宋体" w:hAnsi="宋体"/>
          <w:color w:val="000000" w:themeColor="text1"/>
          <w:kern w:val="2"/>
          <w14:textFill>
            <w14:solidFill>
              <w14:schemeClr w14:val="tx1"/>
            </w14:solidFill>
          </w14:textFill>
        </w:rPr>
        <w:t>地址：</w:t>
      </w:r>
    </w:p>
    <w:p>
      <w:pPr>
        <w:pStyle w:val="72"/>
        <w:spacing w:before="0" w:after="0" w:line="480" w:lineRule="exact"/>
        <w:ind w:left="420" w:leftChars="200" w:firstLineChars="200"/>
        <w:rPr>
          <w:rFonts w:ascii="宋体"/>
          <w:color w:val="000000" w:themeColor="text1"/>
          <w:kern w:val="2"/>
          <w14:textFill>
            <w14:solidFill>
              <w14:schemeClr w14:val="tx1"/>
            </w14:solidFill>
          </w14:textFill>
        </w:rPr>
      </w:pPr>
      <w:r>
        <w:rPr>
          <w:rFonts w:hint="eastAsia" w:ascii="宋体" w:hAnsi="宋体"/>
          <w:color w:val="000000" w:themeColor="text1"/>
          <w:kern w:val="2"/>
          <w14:textFill>
            <w14:solidFill>
              <w14:schemeClr w14:val="tx1"/>
            </w14:solidFill>
          </w14:textFill>
        </w:rPr>
        <w:t>邮编：</w:t>
      </w:r>
    </w:p>
    <w:p>
      <w:pPr>
        <w:pStyle w:val="72"/>
        <w:spacing w:before="0" w:after="0" w:line="480" w:lineRule="exact"/>
        <w:ind w:left="420" w:leftChars="200" w:firstLineChars="200"/>
        <w:rPr>
          <w:rFonts w:ascii="宋体"/>
          <w:color w:val="000000" w:themeColor="text1"/>
          <w:kern w:val="2"/>
          <w14:textFill>
            <w14:solidFill>
              <w14:schemeClr w14:val="tx1"/>
            </w14:solidFill>
          </w14:textFill>
        </w:rPr>
      </w:pPr>
      <w:r>
        <w:rPr>
          <w:rFonts w:hint="eastAsia" w:ascii="宋体" w:hAnsi="宋体"/>
          <w:color w:val="000000" w:themeColor="text1"/>
          <w:kern w:val="2"/>
          <w14:textFill>
            <w14:solidFill>
              <w14:schemeClr w14:val="tx1"/>
            </w14:solidFill>
          </w14:textFill>
        </w:rPr>
        <w:t>电话：</w:t>
      </w:r>
    </w:p>
    <w:p>
      <w:pPr>
        <w:pStyle w:val="72"/>
        <w:spacing w:before="0" w:after="0" w:line="480" w:lineRule="exact"/>
        <w:ind w:left="420" w:leftChars="200" w:firstLineChars="200"/>
        <w:rPr>
          <w:rFonts w:ascii="宋体"/>
          <w:color w:val="000000" w:themeColor="text1"/>
          <w:kern w:val="2"/>
          <w14:textFill>
            <w14:solidFill>
              <w14:schemeClr w14:val="tx1"/>
            </w14:solidFill>
          </w14:textFill>
        </w:rPr>
      </w:pPr>
      <w:r>
        <w:rPr>
          <w:rFonts w:hint="eastAsia" w:ascii="宋体" w:hAnsi="宋体"/>
          <w:color w:val="000000" w:themeColor="text1"/>
          <w:kern w:val="2"/>
          <w14:textFill>
            <w14:solidFill>
              <w14:schemeClr w14:val="tx1"/>
            </w14:solidFill>
          </w14:textFill>
        </w:rPr>
        <w:t>传真：</w:t>
      </w:r>
    </w:p>
    <w:p>
      <w:pPr>
        <w:pStyle w:val="72"/>
        <w:spacing w:before="0" w:after="0" w:line="480" w:lineRule="exact"/>
        <w:ind w:left="420" w:leftChars="200" w:firstLineChars="200"/>
        <w:rPr>
          <w:rFonts w:ascii="宋体"/>
          <w:color w:val="000000" w:themeColor="text1"/>
          <w:kern w:val="2"/>
          <w14:textFill>
            <w14:solidFill>
              <w14:schemeClr w14:val="tx1"/>
            </w14:solidFill>
          </w14:textFill>
        </w:rPr>
      </w:pPr>
      <w:r>
        <w:rPr>
          <w:rFonts w:hint="eastAsia" w:ascii="宋体" w:hAnsi="宋体"/>
          <w:color w:val="000000" w:themeColor="text1"/>
          <w:kern w:val="2"/>
          <w14:textFill>
            <w14:solidFill>
              <w14:schemeClr w14:val="tx1"/>
            </w14:solidFill>
          </w14:textFill>
        </w:rPr>
        <w:t>投标人开户行：</w:t>
      </w:r>
    </w:p>
    <w:p>
      <w:pPr>
        <w:pStyle w:val="72"/>
        <w:spacing w:before="0" w:after="0" w:line="480" w:lineRule="exact"/>
        <w:ind w:left="420" w:leftChars="200" w:firstLineChars="200"/>
        <w:rPr>
          <w:rFonts w:ascii="宋体" w:hAnsi="宋体"/>
          <w:color w:val="000000" w:themeColor="text1"/>
          <w:kern w:val="2"/>
          <w14:textFill>
            <w14:solidFill>
              <w14:schemeClr w14:val="tx1"/>
            </w14:solidFill>
          </w14:textFill>
        </w:rPr>
      </w:pPr>
      <w:r>
        <w:rPr>
          <w:rFonts w:hint="eastAsia" w:ascii="宋体" w:hAnsi="宋体"/>
          <w:color w:val="000000" w:themeColor="text1"/>
          <w:kern w:val="2"/>
          <w14:textFill>
            <w14:solidFill>
              <w14:schemeClr w14:val="tx1"/>
            </w14:solidFill>
          </w14:textFill>
        </w:rPr>
        <w:t>账</w:t>
      </w:r>
      <w:r>
        <w:rPr>
          <w:rFonts w:ascii="宋体" w:hAnsi="宋体"/>
          <w:color w:val="000000" w:themeColor="text1"/>
          <w:kern w:val="2"/>
          <w14:textFill>
            <w14:solidFill>
              <w14:schemeClr w14:val="tx1"/>
            </w14:solidFill>
          </w14:textFill>
        </w:rPr>
        <w:t xml:space="preserve">          </w:t>
      </w:r>
      <w:r>
        <w:rPr>
          <w:rFonts w:hint="eastAsia" w:ascii="宋体" w:hAnsi="宋体"/>
          <w:color w:val="000000" w:themeColor="text1"/>
          <w:kern w:val="2"/>
          <w14:textFill>
            <w14:solidFill>
              <w14:schemeClr w14:val="tx1"/>
            </w14:solidFill>
          </w14:textFill>
        </w:rPr>
        <w:t>户：</w:t>
      </w:r>
      <w:r>
        <w:rPr>
          <w:rFonts w:ascii="宋体" w:hAnsi="宋体"/>
          <w:color w:val="000000" w:themeColor="text1"/>
          <w:kern w:val="2"/>
          <w14:textFill>
            <w14:solidFill>
              <w14:schemeClr w14:val="tx1"/>
            </w14:solidFill>
          </w14:textFill>
        </w:rPr>
        <w:t xml:space="preserve"> </w:t>
      </w:r>
    </w:p>
    <w:p>
      <w:pPr>
        <w:pStyle w:val="72"/>
        <w:spacing w:before="0" w:after="0" w:line="480" w:lineRule="exact"/>
        <w:ind w:left="420" w:leftChars="200" w:firstLineChars="200"/>
        <w:rPr>
          <w:rFonts w:ascii="宋体"/>
          <w:color w:val="000000" w:themeColor="text1"/>
          <w:kern w:val="2"/>
          <w14:textFill>
            <w14:solidFill>
              <w14:schemeClr w14:val="tx1"/>
            </w14:solidFill>
          </w14:textFill>
        </w:rPr>
      </w:pPr>
      <w:r>
        <w:rPr>
          <w:rFonts w:hint="eastAsia" w:ascii="宋体" w:hAnsi="宋体"/>
          <w:color w:val="000000" w:themeColor="text1"/>
          <w:kern w:val="2"/>
          <w14:textFill>
            <w14:solidFill>
              <w14:schemeClr w14:val="tx1"/>
            </w14:solidFill>
          </w14:textFill>
        </w:rPr>
        <w:t>投标人授权代表姓名（签字）：</w:t>
      </w:r>
    </w:p>
    <w:p>
      <w:pPr>
        <w:pStyle w:val="72"/>
        <w:spacing w:before="0" w:after="0" w:line="480" w:lineRule="exact"/>
        <w:ind w:left="420" w:leftChars="200" w:firstLineChars="200"/>
        <w:rPr>
          <w:rFonts w:ascii="宋体"/>
          <w:color w:val="000000" w:themeColor="text1"/>
          <w:kern w:val="2"/>
          <w14:textFill>
            <w14:solidFill>
              <w14:schemeClr w14:val="tx1"/>
            </w14:solidFill>
          </w14:textFill>
        </w:rPr>
      </w:pPr>
      <w:r>
        <w:rPr>
          <w:rFonts w:hint="eastAsia" w:ascii="宋体" w:hAnsi="宋体"/>
          <w:color w:val="000000" w:themeColor="text1"/>
          <w:kern w:val="2"/>
          <w14:textFill>
            <w14:solidFill>
              <w14:schemeClr w14:val="tx1"/>
            </w14:solidFill>
          </w14:textFill>
        </w:rPr>
        <w:t>投标人名称（公章）：</w:t>
      </w:r>
    </w:p>
    <w:p>
      <w:pPr>
        <w:pStyle w:val="72"/>
        <w:spacing w:before="0" w:after="0" w:line="480" w:lineRule="exact"/>
        <w:ind w:left="420" w:leftChars="200" w:firstLineChars="200"/>
        <w:rPr>
          <w:rFonts w:ascii="宋体"/>
          <w:color w:val="000000" w:themeColor="text1"/>
          <w:kern w:val="2"/>
          <w14:textFill>
            <w14:solidFill>
              <w14:schemeClr w14:val="tx1"/>
            </w14:solidFill>
          </w14:textFill>
        </w:rPr>
      </w:pPr>
      <w:r>
        <w:rPr>
          <w:rFonts w:hint="eastAsia" w:ascii="宋体" w:hAnsi="宋体"/>
          <w:color w:val="000000" w:themeColor="text1"/>
          <w:kern w:val="2"/>
          <w14:textFill>
            <w14:solidFill>
              <w14:schemeClr w14:val="tx1"/>
            </w14:solidFill>
          </w14:textFill>
        </w:rPr>
        <w:t>日期：</w:t>
      </w:r>
      <w:r>
        <w:rPr>
          <w:rFonts w:ascii="宋体" w:hAnsi="宋体"/>
          <w:color w:val="000000" w:themeColor="text1"/>
          <w:kern w:val="2"/>
          <w14:textFill>
            <w14:solidFill>
              <w14:schemeClr w14:val="tx1"/>
            </w14:solidFill>
          </w14:textFill>
        </w:rPr>
        <w:t>_____</w:t>
      </w:r>
      <w:r>
        <w:rPr>
          <w:rFonts w:hint="eastAsia" w:ascii="宋体" w:hAnsi="宋体"/>
          <w:color w:val="000000" w:themeColor="text1"/>
          <w:kern w:val="2"/>
          <w14:textFill>
            <w14:solidFill>
              <w14:schemeClr w14:val="tx1"/>
            </w14:solidFill>
          </w14:textFill>
        </w:rPr>
        <w:t>年</w:t>
      </w:r>
      <w:r>
        <w:rPr>
          <w:rFonts w:ascii="宋体" w:hAnsi="宋体"/>
          <w:color w:val="000000" w:themeColor="text1"/>
          <w:kern w:val="2"/>
          <w14:textFill>
            <w14:solidFill>
              <w14:schemeClr w14:val="tx1"/>
            </w14:solidFill>
          </w14:textFill>
        </w:rPr>
        <w:t>____</w:t>
      </w:r>
      <w:r>
        <w:rPr>
          <w:rFonts w:hint="eastAsia" w:ascii="宋体" w:hAnsi="宋体"/>
          <w:color w:val="000000" w:themeColor="text1"/>
          <w:kern w:val="2"/>
          <w14:textFill>
            <w14:solidFill>
              <w14:schemeClr w14:val="tx1"/>
            </w14:solidFill>
          </w14:textFill>
        </w:rPr>
        <w:t>月</w:t>
      </w:r>
      <w:r>
        <w:rPr>
          <w:rFonts w:ascii="宋体" w:hAnsi="宋体"/>
          <w:color w:val="000000" w:themeColor="text1"/>
          <w:kern w:val="2"/>
          <w14:textFill>
            <w14:solidFill>
              <w14:schemeClr w14:val="tx1"/>
            </w14:solidFill>
          </w14:textFill>
        </w:rPr>
        <w:t>____</w:t>
      </w:r>
      <w:r>
        <w:rPr>
          <w:rFonts w:hint="eastAsia" w:ascii="宋体" w:hAnsi="宋体"/>
          <w:color w:val="000000" w:themeColor="text1"/>
          <w:kern w:val="2"/>
          <w14:textFill>
            <w14:solidFill>
              <w14:schemeClr w14:val="tx1"/>
            </w14:solidFill>
          </w14:textFill>
        </w:rPr>
        <w:t>日</w:t>
      </w:r>
    </w:p>
    <w:p>
      <w:pPr>
        <w:pStyle w:val="4"/>
        <w:spacing w:line="500" w:lineRule="exact"/>
        <w:rPr>
          <w:rFonts w:ascii="宋体" w:hAnsi="宋体" w:eastAsia="宋体"/>
          <w:color w:val="000000" w:themeColor="text1"/>
          <w:sz w:val="36"/>
          <w:szCs w:val="36"/>
          <w14:textFill>
            <w14:solidFill>
              <w14:schemeClr w14:val="tx1"/>
            </w14:solidFill>
          </w14:textFill>
        </w:rPr>
      </w:pPr>
      <w:r>
        <w:rPr>
          <w:rFonts w:hint="eastAsia" w:ascii="宋体" w:hAnsi="宋体" w:eastAsia="宋体" w:cs="Times New Roman"/>
          <w:bCs w:val="0"/>
          <w:color w:val="000000" w:themeColor="text1"/>
          <w:sz w:val="36"/>
          <w:szCs w:val="36"/>
          <w14:textFill>
            <w14:solidFill>
              <w14:schemeClr w14:val="tx1"/>
            </w14:solidFill>
          </w14:textFill>
        </w:rPr>
        <w:t>四、</w:t>
      </w:r>
      <w:r>
        <w:rPr>
          <w:rFonts w:hint="eastAsia" w:ascii="宋体" w:hAnsi="宋体" w:eastAsia="宋体"/>
          <w:color w:val="000000" w:themeColor="text1"/>
          <w:sz w:val="36"/>
          <w:szCs w:val="36"/>
          <w14:textFill>
            <w14:solidFill>
              <w14:schemeClr w14:val="tx1"/>
            </w14:solidFill>
          </w14:textFill>
        </w:rPr>
        <w:t>开标一览表</w:t>
      </w:r>
    </w:p>
    <w:tbl>
      <w:tblPr>
        <w:tblStyle w:val="32"/>
        <w:tblW w:w="1014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9" w:hRule="atLeast"/>
        </w:trPr>
        <w:tc>
          <w:tcPr>
            <w:tcW w:w="2700" w:type="dxa"/>
            <w:vAlign w:val="center"/>
          </w:tcPr>
          <w:p>
            <w:pPr>
              <w:spacing w:line="500" w:lineRule="exact"/>
              <w:ind w:firstLine="482" w:firstLineChars="200"/>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项目名称</w:t>
            </w:r>
          </w:p>
        </w:tc>
        <w:tc>
          <w:tcPr>
            <w:tcW w:w="7445" w:type="dxa"/>
            <w:vAlign w:val="center"/>
          </w:tcPr>
          <w:p>
            <w:pPr>
              <w:pStyle w:val="4"/>
              <w:spacing w:line="500" w:lineRule="exact"/>
              <w:jc w:val="both"/>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1" w:hRule="atLeast"/>
        </w:trPr>
        <w:tc>
          <w:tcPr>
            <w:tcW w:w="10145" w:type="dxa"/>
            <w:gridSpan w:val="2"/>
            <w:vAlign w:val="center"/>
          </w:tcPr>
          <w:p>
            <w:pPr>
              <w:spacing w:line="500" w:lineRule="exact"/>
              <w:rPr>
                <w:rFonts w:ascii="宋体"/>
                <w:b/>
                <w:color w:val="000000" w:themeColor="text1"/>
                <w:sz w:val="24"/>
                <w:szCs w:val="24"/>
                <w:u w:val="single"/>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项目投标报价：</w:t>
            </w:r>
            <w:r>
              <w:rPr>
                <w:rFonts w:hint="eastAsia" w:ascii="宋体" w:hAnsi="宋体"/>
                <w:b/>
                <w:color w:val="000000" w:themeColor="text1"/>
                <w:sz w:val="24"/>
                <w:szCs w:val="24"/>
                <w14:textFill>
                  <w14:solidFill>
                    <w14:schemeClr w14:val="tx1"/>
                  </w14:solidFill>
                </w14:textFill>
              </w:rPr>
              <w:t>人民币（大写）</w:t>
            </w:r>
            <w:r>
              <w:rPr>
                <w:rFonts w:hint="eastAsia" w:ascii="新宋体" w:hAnsi="新宋体" w:eastAsia="新宋体"/>
                <w:b/>
                <w:sz w:val="24"/>
                <w:u w:val="single"/>
              </w:rPr>
              <w:t xml:space="preserve">                  </w:t>
            </w:r>
            <w:r>
              <w:rPr>
                <w:rFonts w:hint="eastAsia" w:ascii="宋体" w:hAnsi="宋体"/>
                <w:b/>
                <w:color w:val="000000" w:themeColor="text1"/>
                <w:sz w:val="24"/>
                <w:szCs w:val="24"/>
                <w14:textFill>
                  <w14:solidFill>
                    <w14:schemeClr w14:val="tx1"/>
                  </w14:solidFill>
                </w14:textFill>
              </w:rPr>
              <w:t>元整</w:t>
            </w:r>
            <w:r>
              <w:rPr>
                <w:rFonts w:hint="eastAsia" w:ascii="新宋体" w:hAnsi="新宋体" w:eastAsia="新宋体"/>
                <w:b/>
                <w:sz w:val="24"/>
              </w:rPr>
              <w:t>（￥</w:t>
            </w:r>
            <w:r>
              <w:rPr>
                <w:rFonts w:hint="eastAsia" w:ascii="新宋体" w:hAnsi="新宋体" w:eastAsia="新宋体"/>
                <w:b/>
                <w:sz w:val="24"/>
                <w:u w:val="single"/>
              </w:rPr>
              <w:t xml:space="preserve">         </w:t>
            </w:r>
            <w:r>
              <w:rPr>
                <w:rFonts w:hint="eastAsia" w:ascii="新宋体" w:hAnsi="新宋体" w:eastAsia="新宋体"/>
                <w:b/>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7" w:hRule="atLeast"/>
        </w:trPr>
        <w:tc>
          <w:tcPr>
            <w:tcW w:w="10145" w:type="dxa"/>
            <w:gridSpan w:val="2"/>
            <w:vAlign w:val="center"/>
          </w:tcPr>
          <w:p>
            <w:pPr>
              <w:spacing w:line="500" w:lineRule="exac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项目实施时间（</w:t>
            </w:r>
            <w:r>
              <w:rPr>
                <w:rFonts w:hint="eastAsia" w:ascii="宋体" w:hAnsi="宋体"/>
                <w:b/>
                <w:bCs/>
                <w:color w:val="000000" w:themeColor="text1"/>
                <w:sz w:val="24"/>
                <w:szCs w:val="24"/>
                <w:lang w:eastAsia="zh-CN"/>
                <w14:textFill>
                  <w14:solidFill>
                    <w14:schemeClr w14:val="tx1"/>
                  </w14:solidFill>
                </w14:textFill>
              </w:rPr>
              <w:t>维保期</w:t>
            </w:r>
            <w:r>
              <w:rPr>
                <w:rFonts w:hint="eastAsia" w:ascii="宋体" w:hAnsi="宋体"/>
                <w:b/>
                <w:bCs/>
                <w:color w:val="000000" w:themeColor="text1"/>
                <w:sz w:val="24"/>
                <w:szCs w:val="24"/>
                <w14:textFill>
                  <w14:solidFill>
                    <w14:schemeClr w14:val="tx1"/>
                  </w14:solidFill>
                </w14:textFill>
              </w:rPr>
              <w:t>）：</w:t>
            </w:r>
            <w:r>
              <w:rPr>
                <w:rFonts w:ascii="宋体" w:hAnsi="宋体"/>
                <w:b/>
                <w:bCs/>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10145" w:type="dxa"/>
            <w:gridSpan w:val="2"/>
            <w:vAlign w:val="center"/>
          </w:tcPr>
          <w:p>
            <w:pPr>
              <w:spacing w:line="500" w:lineRule="exact"/>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保证金形式：</w:t>
            </w:r>
          </w:p>
        </w:tc>
      </w:tr>
    </w:tbl>
    <w:p>
      <w:pPr>
        <w:spacing w:line="500" w:lineRule="exact"/>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填写说明：</w:t>
      </w:r>
    </w:p>
    <w:p>
      <w:pPr>
        <w:numPr>
          <w:ilvl w:val="0"/>
          <w:numId w:val="3"/>
        </w:numPr>
        <w:spacing w:line="500" w:lineRule="exact"/>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开标一览表不得填报选择性报价，否则将作为无效投标；</w:t>
      </w:r>
    </w:p>
    <w:p>
      <w:pPr>
        <w:numPr>
          <w:ilvl w:val="0"/>
          <w:numId w:val="3"/>
        </w:numPr>
        <w:spacing w:line="500" w:lineRule="exact"/>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开标一览表中报价与投标报价清单中不符时时，以开标一览表为准；</w:t>
      </w:r>
    </w:p>
    <w:p>
      <w:pPr>
        <w:spacing w:line="500" w:lineRule="exact"/>
        <w:ind w:firstLine="1440" w:firstLineChars="600"/>
        <w:rPr>
          <w:rFonts w:ascii="宋体"/>
          <w:color w:val="000000" w:themeColor="text1"/>
          <w:sz w:val="24"/>
          <w:szCs w:val="24"/>
          <w14:textFill>
            <w14:solidFill>
              <w14:schemeClr w14:val="tx1"/>
            </w14:solidFill>
          </w14:textFill>
        </w:rPr>
      </w:pPr>
    </w:p>
    <w:p>
      <w:pPr>
        <w:spacing w:line="500" w:lineRule="exact"/>
        <w:rPr>
          <w:rFonts w:ascii="宋体"/>
          <w:color w:val="000000" w:themeColor="text1"/>
          <w:sz w:val="24"/>
          <w:szCs w:val="24"/>
          <w14:textFill>
            <w14:solidFill>
              <w14:schemeClr w14:val="tx1"/>
            </w14:solidFill>
          </w14:textFill>
        </w:rPr>
      </w:pPr>
    </w:p>
    <w:p>
      <w:pPr>
        <w:spacing w:line="500" w:lineRule="exact"/>
        <w:rPr>
          <w:rFonts w:ascii="宋体"/>
          <w:color w:val="000000" w:themeColor="text1"/>
          <w:sz w:val="24"/>
          <w:szCs w:val="24"/>
          <w14:textFill>
            <w14:solidFill>
              <w14:schemeClr w14:val="tx1"/>
            </w14:solidFill>
          </w14:textFill>
        </w:rPr>
      </w:pPr>
    </w:p>
    <w:p>
      <w:pPr>
        <w:pStyle w:val="18"/>
        <w:spacing w:line="480" w:lineRule="auto"/>
        <w:ind w:firstLine="4336" w:firstLineChars="1807"/>
        <w:rPr>
          <w:rFonts w:ascii="新宋体" w:hAnsi="新宋体" w:eastAsia="新宋体"/>
          <w:sz w:val="24"/>
          <w:szCs w:val="24"/>
          <w:u w:val="single"/>
        </w:rPr>
      </w:pPr>
      <w:r>
        <w:rPr>
          <w:rFonts w:hint="eastAsia" w:ascii="新宋体" w:hAnsi="新宋体" w:eastAsia="新宋体"/>
          <w:sz w:val="24"/>
          <w:szCs w:val="24"/>
        </w:rPr>
        <w:t>投标人（盖章）：</w:t>
      </w:r>
    </w:p>
    <w:p>
      <w:pPr>
        <w:pStyle w:val="18"/>
        <w:spacing w:line="480" w:lineRule="auto"/>
        <w:ind w:firstLine="4320" w:firstLineChars="1800"/>
        <w:rPr>
          <w:rFonts w:ascii="新宋体" w:hAnsi="新宋体" w:eastAsia="新宋体"/>
          <w:sz w:val="24"/>
          <w:szCs w:val="24"/>
          <w:u w:val="single"/>
        </w:rPr>
      </w:pPr>
      <w:r>
        <w:rPr>
          <w:rFonts w:hint="eastAsia" w:ascii="新宋体" w:hAnsi="新宋体" w:eastAsia="新宋体"/>
          <w:sz w:val="24"/>
          <w:szCs w:val="24"/>
        </w:rPr>
        <w:t>法定代表人或授权代表（签字或盖章）：</w:t>
      </w:r>
    </w:p>
    <w:p>
      <w:pPr>
        <w:pStyle w:val="18"/>
        <w:spacing w:line="480" w:lineRule="auto"/>
        <w:rPr>
          <w:rFonts w:ascii="新宋体" w:hAnsi="新宋体" w:eastAsia="新宋体"/>
          <w:sz w:val="24"/>
          <w:szCs w:val="24"/>
        </w:rPr>
      </w:pPr>
      <w:r>
        <w:rPr>
          <w:rFonts w:hint="eastAsia" w:ascii="新宋体" w:hAnsi="新宋体" w:eastAsia="新宋体"/>
          <w:sz w:val="24"/>
          <w:szCs w:val="24"/>
        </w:rPr>
        <w:t xml:space="preserve">                               日期：  年  月  日</w:t>
      </w:r>
    </w:p>
    <w:p>
      <w:pPr>
        <w:pStyle w:val="5"/>
        <w:spacing w:line="500" w:lineRule="exact"/>
        <w:ind w:firstLine="0"/>
        <w:jc w:val="center"/>
        <w:rPr>
          <w:rFonts w:ascii="宋体"/>
          <w:color w:val="000000" w:themeColor="text1"/>
          <w:sz w:val="24"/>
          <w:szCs w:val="24"/>
          <w14:textFill>
            <w14:solidFill>
              <w14:schemeClr w14:val="tx1"/>
            </w14:solidFill>
          </w14:textFill>
        </w:rPr>
      </w:pPr>
      <w:r>
        <w:rPr>
          <w:rFonts w:ascii="宋体"/>
          <w:b/>
          <w:color w:val="000000" w:themeColor="text1"/>
          <w:sz w:val="24"/>
          <w:szCs w:val="24"/>
          <w14:textFill>
            <w14:solidFill>
              <w14:schemeClr w14:val="tx1"/>
            </w14:solidFill>
          </w14:textFill>
        </w:rPr>
        <w:br w:type="page"/>
      </w:r>
      <w:r>
        <w:rPr>
          <w:rFonts w:hint="eastAsia" w:ascii="宋体" w:hAnsi="宋体"/>
          <w:b/>
          <w:color w:val="000000" w:themeColor="text1"/>
          <w:sz w:val="36"/>
          <w:szCs w:val="36"/>
          <w14:textFill>
            <w14:solidFill>
              <w14:schemeClr w14:val="tx1"/>
            </w14:solidFill>
          </w14:textFill>
        </w:rPr>
        <w:t>五、报价清单</w:t>
      </w:r>
    </w:p>
    <w:p>
      <w:pPr>
        <w:spacing w:line="500" w:lineRule="exact"/>
        <w:ind w:firstLine="120" w:firstLineChars="50"/>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866775</wp:posOffset>
                </wp:positionH>
                <wp:positionV relativeFrom="paragraph">
                  <wp:posOffset>287655</wp:posOffset>
                </wp:positionV>
                <wp:extent cx="1714500" cy="0"/>
                <wp:effectExtent l="0" t="0" r="0" b="0"/>
                <wp:wrapNone/>
                <wp:docPr id="1" name="自选图形 2"/>
                <wp:cNvGraphicFramePr/>
                <a:graphic xmlns:a="http://schemas.openxmlformats.org/drawingml/2006/main">
                  <a:graphicData uri="http://schemas.microsoft.com/office/word/2010/wordprocessingShape">
                    <wps:wsp>
                      <wps:cNvCnPr/>
                      <wps:spPr>
                        <a:xfrm>
                          <a:off x="0" y="0"/>
                          <a:ext cx="17145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68.25pt;margin-top:22.65pt;height:0pt;width:135pt;z-index:251659264;mso-width-relative:page;mso-height-relative:page;" filled="f" stroked="t" coordsize="21600,21600" o:gfxdata="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YN14XWAAAACQEAAA8AAAAAAAAA&#10;AQAgAAAAIgAAAGRycy9kb3ducmV2LnhtbFBLAQIUABQAAAAIAIdO4kBobEV52gEAAJUDAAAOAAAA&#10;AAAAAAEAIAAAACUBAABkcnMvZTJvRG9jLnhtbFBLBQYAAAAABgAGAFkBAABxBQAAAAA=&#10;">
                <v:fill on="f" focussize="0,0"/>
                <v:stroke color="#000000" joinstyle="round"/>
                <v:imagedata o:title=""/>
                <o:lock v:ext="edit" aspectratio="f"/>
              </v:shape>
            </w:pict>
          </mc:Fallback>
        </mc:AlternateContent>
      </w:r>
      <w:r>
        <w:rPr>
          <w:rFonts w:hint="eastAsia" w:ascii="宋体" w:hAnsi="宋体"/>
          <w:color w:val="000000" w:themeColor="text1"/>
          <w:sz w:val="24"/>
          <w:szCs w:val="24"/>
          <w14:textFill>
            <w14:solidFill>
              <w14:schemeClr w14:val="tx1"/>
            </w14:solidFill>
          </w14:textFill>
        </w:rPr>
        <w:t>投标人全称：                     （加盖公章）</w:t>
      </w:r>
    </w:p>
    <w:tbl>
      <w:tblPr>
        <w:tblStyle w:val="32"/>
        <w:tblpPr w:leftFromText="180" w:rightFromText="180" w:horzAnchor="margin" w:tblpXSpec="center" w:tblpY="1140"/>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701"/>
        <w:gridCol w:w="2499"/>
        <w:gridCol w:w="1025"/>
        <w:gridCol w:w="1161"/>
        <w:gridCol w:w="985"/>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3" w:hRule="atLeast"/>
        </w:trPr>
        <w:tc>
          <w:tcPr>
            <w:tcW w:w="675" w:type="dxa"/>
            <w:vAlign w:val="center"/>
          </w:tcPr>
          <w:p>
            <w:pPr>
              <w:spacing w:line="500" w:lineRule="exact"/>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w:t>
            </w:r>
          </w:p>
          <w:p>
            <w:pPr>
              <w:spacing w:line="500" w:lineRule="exact"/>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号</w:t>
            </w:r>
          </w:p>
        </w:tc>
        <w:tc>
          <w:tcPr>
            <w:tcW w:w="1701" w:type="dxa"/>
            <w:tcBorders>
              <w:bottom w:val="single" w:color="auto" w:sz="4" w:space="0"/>
            </w:tcBorders>
            <w:vAlign w:val="center"/>
          </w:tcPr>
          <w:p>
            <w:pPr>
              <w:spacing w:line="500" w:lineRule="exact"/>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货物名称</w:t>
            </w:r>
          </w:p>
        </w:tc>
        <w:tc>
          <w:tcPr>
            <w:tcW w:w="2499" w:type="dxa"/>
            <w:tcBorders>
              <w:bottom w:val="single" w:color="auto" w:sz="4" w:space="0"/>
            </w:tcBorders>
            <w:vAlign w:val="center"/>
          </w:tcPr>
          <w:p>
            <w:pPr>
              <w:spacing w:line="500" w:lineRule="exact"/>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技术</w:t>
            </w:r>
          </w:p>
          <w:p>
            <w:pPr>
              <w:spacing w:line="500" w:lineRule="exact"/>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参数</w:t>
            </w:r>
          </w:p>
        </w:tc>
        <w:tc>
          <w:tcPr>
            <w:tcW w:w="1025" w:type="dxa"/>
            <w:vAlign w:val="center"/>
          </w:tcPr>
          <w:p>
            <w:pPr>
              <w:spacing w:line="500" w:lineRule="exact"/>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单位</w:t>
            </w:r>
          </w:p>
        </w:tc>
        <w:tc>
          <w:tcPr>
            <w:tcW w:w="1161" w:type="dxa"/>
            <w:vAlign w:val="center"/>
          </w:tcPr>
          <w:p>
            <w:pPr>
              <w:spacing w:line="500" w:lineRule="exact"/>
              <w:jc w:val="center"/>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数量</w:t>
            </w:r>
          </w:p>
        </w:tc>
        <w:tc>
          <w:tcPr>
            <w:tcW w:w="985" w:type="dxa"/>
            <w:vAlign w:val="center"/>
          </w:tcPr>
          <w:p>
            <w:pPr>
              <w:spacing w:line="500" w:lineRule="exact"/>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单</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价</w:t>
            </w:r>
          </w:p>
          <w:p>
            <w:pPr>
              <w:spacing w:line="500" w:lineRule="exact"/>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（元）</w:t>
            </w:r>
          </w:p>
        </w:tc>
        <w:tc>
          <w:tcPr>
            <w:tcW w:w="993" w:type="dxa"/>
            <w:vAlign w:val="center"/>
          </w:tcPr>
          <w:p>
            <w:pPr>
              <w:spacing w:line="500" w:lineRule="exact"/>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价</w:t>
            </w:r>
          </w:p>
          <w:p>
            <w:pPr>
              <w:spacing w:line="500" w:lineRule="exact"/>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9" w:hRule="atLeast"/>
        </w:trPr>
        <w:tc>
          <w:tcPr>
            <w:tcW w:w="675" w:type="dxa"/>
            <w:vAlign w:val="center"/>
          </w:tcPr>
          <w:p>
            <w:pPr>
              <w:spacing w:line="50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p>
        </w:tc>
        <w:tc>
          <w:tcPr>
            <w:tcW w:w="1701" w:type="dxa"/>
            <w:vAlign w:val="center"/>
          </w:tcPr>
          <w:p>
            <w:pPr>
              <w:spacing w:line="500" w:lineRule="exact"/>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消防维保及设备保养项目</w:t>
            </w:r>
          </w:p>
        </w:tc>
        <w:tc>
          <w:tcPr>
            <w:tcW w:w="2499" w:type="dxa"/>
            <w:vAlign w:val="center"/>
          </w:tcPr>
          <w:p>
            <w:pPr>
              <w:spacing w:line="500" w:lineRule="exact"/>
              <w:jc w:val="center"/>
              <w:rPr>
                <w:rFonts w:asci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该部分完全响应招标文件第四章采购需求中技术参数所有条款</w:t>
            </w:r>
          </w:p>
        </w:tc>
        <w:tc>
          <w:tcPr>
            <w:tcW w:w="1025" w:type="dxa"/>
            <w:vAlign w:val="center"/>
          </w:tcPr>
          <w:p>
            <w:pPr>
              <w:spacing w:line="500" w:lineRule="exact"/>
              <w:jc w:val="center"/>
              <w:rPr>
                <w:rFonts w:hint="eastAsia" w:ascii="宋体" w:eastAsia="宋体"/>
                <w:color w:val="000000" w:themeColor="text1"/>
                <w:sz w:val="24"/>
                <w:szCs w:val="24"/>
                <w:lang w:eastAsia="zh-CN"/>
                <w14:textFill>
                  <w14:solidFill>
                    <w14:schemeClr w14:val="tx1"/>
                  </w14:solidFill>
                </w14:textFill>
              </w:rPr>
            </w:pPr>
            <w:r>
              <w:rPr>
                <w:rFonts w:hint="eastAsia" w:ascii="宋体"/>
                <w:color w:val="000000" w:themeColor="text1"/>
                <w:sz w:val="24"/>
                <w:szCs w:val="24"/>
                <w:lang w:eastAsia="zh-CN"/>
                <w14:textFill>
                  <w14:solidFill>
                    <w14:schemeClr w14:val="tx1"/>
                  </w14:solidFill>
                </w14:textFill>
              </w:rPr>
              <w:t>项</w:t>
            </w:r>
          </w:p>
        </w:tc>
        <w:tc>
          <w:tcPr>
            <w:tcW w:w="1161" w:type="dxa"/>
            <w:vAlign w:val="center"/>
          </w:tcPr>
          <w:p>
            <w:pPr>
              <w:spacing w:line="500" w:lineRule="exact"/>
              <w:jc w:val="center"/>
              <w:rPr>
                <w:rFonts w:hint="eastAsia" w:ascii="宋体" w:eastAsia="宋体"/>
                <w:color w:val="000000" w:themeColor="text1"/>
                <w:sz w:val="24"/>
                <w:szCs w:val="24"/>
                <w:lang w:eastAsia="zh-CN"/>
                <w14:textFill>
                  <w14:solidFill>
                    <w14:schemeClr w14:val="tx1"/>
                  </w14:solidFill>
                </w14:textFill>
              </w:rPr>
            </w:pPr>
            <w:r>
              <w:rPr>
                <w:rFonts w:hint="eastAsia" w:ascii="宋体"/>
                <w:color w:val="000000" w:themeColor="text1"/>
                <w:sz w:val="24"/>
                <w:szCs w:val="24"/>
                <w:lang w:val="en-US" w:eastAsia="zh-CN"/>
                <w14:textFill>
                  <w14:solidFill>
                    <w14:schemeClr w14:val="tx1"/>
                  </w14:solidFill>
                </w14:textFill>
              </w:rPr>
              <w:t>1</w:t>
            </w:r>
          </w:p>
        </w:tc>
        <w:tc>
          <w:tcPr>
            <w:tcW w:w="985" w:type="dxa"/>
            <w:vAlign w:val="center"/>
          </w:tcPr>
          <w:p>
            <w:pPr>
              <w:spacing w:line="500" w:lineRule="exact"/>
              <w:jc w:val="center"/>
              <w:rPr>
                <w:rFonts w:ascii="宋体"/>
                <w:color w:val="000000" w:themeColor="text1"/>
                <w:sz w:val="24"/>
                <w:szCs w:val="24"/>
                <w14:textFill>
                  <w14:solidFill>
                    <w14:schemeClr w14:val="tx1"/>
                  </w14:solidFill>
                </w14:textFill>
              </w:rPr>
            </w:pPr>
          </w:p>
        </w:tc>
        <w:tc>
          <w:tcPr>
            <w:tcW w:w="993" w:type="dxa"/>
            <w:vAlign w:val="center"/>
          </w:tcPr>
          <w:p>
            <w:pPr>
              <w:spacing w:line="500" w:lineRule="exact"/>
              <w:jc w:val="center"/>
              <w:rPr>
                <w:rFonts w:asci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4" w:hRule="atLeast"/>
        </w:trPr>
        <w:tc>
          <w:tcPr>
            <w:tcW w:w="675" w:type="dxa"/>
            <w:vAlign w:val="center"/>
          </w:tcPr>
          <w:p>
            <w:pPr>
              <w:spacing w:line="500" w:lineRule="exact"/>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701" w:type="dxa"/>
            <w:vAlign w:val="center"/>
          </w:tcPr>
          <w:p>
            <w:pPr>
              <w:spacing w:line="500" w:lineRule="exact"/>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合计</w:t>
            </w:r>
          </w:p>
        </w:tc>
        <w:tc>
          <w:tcPr>
            <w:tcW w:w="6663" w:type="dxa"/>
            <w:gridSpan w:val="5"/>
            <w:vAlign w:val="center"/>
          </w:tcPr>
          <w:p>
            <w:pPr>
              <w:spacing w:line="500" w:lineRule="exact"/>
              <w:rPr>
                <w:rFonts w:ascii="宋体" w:hAnsi="宋体"/>
                <w:color w:val="000000" w:themeColor="text1"/>
                <w:sz w:val="24"/>
                <w:szCs w:val="24"/>
                <w:u w:val="single"/>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人民币（大写）</w:t>
            </w:r>
            <w:r>
              <w:rPr>
                <w:rFonts w:hint="eastAsia" w:ascii="新宋体" w:hAnsi="新宋体" w:eastAsia="新宋体"/>
                <w:b/>
                <w:sz w:val="24"/>
                <w:u w:val="single"/>
              </w:rPr>
              <w:t xml:space="preserve">                  </w:t>
            </w:r>
            <w:r>
              <w:rPr>
                <w:rFonts w:hint="eastAsia" w:ascii="宋体" w:hAnsi="宋体"/>
                <w:b/>
                <w:color w:val="000000" w:themeColor="text1"/>
                <w:sz w:val="24"/>
                <w:szCs w:val="24"/>
                <w14:textFill>
                  <w14:solidFill>
                    <w14:schemeClr w14:val="tx1"/>
                  </w14:solidFill>
                </w14:textFill>
              </w:rPr>
              <w:t>元整</w:t>
            </w:r>
            <w:r>
              <w:rPr>
                <w:rFonts w:hint="eastAsia" w:ascii="新宋体" w:hAnsi="新宋体" w:eastAsia="新宋体"/>
                <w:b/>
                <w:sz w:val="24"/>
              </w:rPr>
              <w:t>（￥</w:t>
            </w:r>
            <w:r>
              <w:rPr>
                <w:rFonts w:hint="eastAsia" w:ascii="新宋体" w:hAnsi="新宋体" w:eastAsia="新宋体"/>
                <w:b/>
                <w:sz w:val="24"/>
                <w:u w:val="single"/>
              </w:rPr>
              <w:t xml:space="preserve">         </w:t>
            </w:r>
            <w:r>
              <w:rPr>
                <w:rFonts w:hint="eastAsia" w:ascii="新宋体" w:hAnsi="新宋体" w:eastAsia="新宋体"/>
                <w:b/>
                <w:sz w:val="24"/>
              </w:rPr>
              <w:t>元）</w:t>
            </w:r>
          </w:p>
        </w:tc>
      </w:tr>
    </w:tbl>
    <w:p>
      <w:pPr>
        <w:spacing w:line="800" w:lineRule="exact"/>
        <w:ind w:firstLine="120" w:firstLineChars="50"/>
        <w:rPr>
          <w:rFonts w:asci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法定代表人或授权代表签字：</w:t>
      </w:r>
    </w:p>
    <w:p>
      <w:pPr>
        <w:spacing w:line="5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注：投标报价采用总承包方式，投标人的报价应包括为完成本次投标服务及货物（含附配件）的采购、包装、运输、安装、调试、质保期内维保、培训、售后服务等所需的一切费用，包括但不限于：货物（含</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00元以下（含</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00元）的附配件更换）价格、包装费、运输费、装卸费、保险费、安装费、调试费、技术服务费、检测费、质保期内维保费、培训费、售后服务费、管理费、税金、利润、各类风险费、不可预见费及其他一切相关费用等所有费用。</w:t>
      </w:r>
    </w:p>
    <w:p>
      <w:pPr>
        <w:spacing w:line="5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投标报价不得高于预算价。</w:t>
      </w:r>
    </w:p>
    <w:p>
      <w:pPr>
        <w:widowControl/>
        <w:spacing w:line="500" w:lineRule="exact"/>
        <w:jc w:val="left"/>
        <w:rPr>
          <w:rFonts w:ascii="宋体"/>
          <w:color w:val="000000" w:themeColor="text1"/>
          <w:sz w:val="24"/>
          <w:szCs w:val="24"/>
          <w14:textFill>
            <w14:solidFill>
              <w14:schemeClr w14:val="tx1"/>
            </w14:solidFill>
          </w14:textFill>
        </w:rPr>
      </w:pPr>
    </w:p>
    <w:p>
      <w:pPr>
        <w:widowControl/>
        <w:spacing w:line="500" w:lineRule="exact"/>
        <w:jc w:val="left"/>
        <w:rPr>
          <w:rFonts w:ascii="宋体"/>
          <w:color w:val="000000" w:themeColor="text1"/>
          <w:sz w:val="24"/>
          <w:szCs w:val="24"/>
          <w14:textFill>
            <w14:solidFill>
              <w14:schemeClr w14:val="tx1"/>
            </w14:solidFill>
          </w14:textFill>
        </w:rPr>
      </w:pPr>
    </w:p>
    <w:p>
      <w:pPr>
        <w:widowControl/>
        <w:spacing w:line="500" w:lineRule="exact"/>
        <w:jc w:val="left"/>
        <w:rPr>
          <w:rFonts w:ascii="宋体"/>
          <w:color w:val="000000" w:themeColor="text1"/>
          <w:sz w:val="24"/>
          <w:szCs w:val="24"/>
          <w14:textFill>
            <w14:solidFill>
              <w14:schemeClr w14:val="tx1"/>
            </w14:solidFill>
          </w14:textFill>
        </w:rPr>
      </w:pPr>
    </w:p>
    <w:p>
      <w:pPr>
        <w:widowControl/>
        <w:spacing w:line="500" w:lineRule="exact"/>
        <w:jc w:val="left"/>
        <w:rPr>
          <w:rFonts w:ascii="宋体"/>
          <w:color w:val="000000" w:themeColor="text1"/>
          <w:sz w:val="24"/>
          <w:szCs w:val="24"/>
          <w14:textFill>
            <w14:solidFill>
              <w14:schemeClr w14:val="tx1"/>
            </w14:solidFill>
          </w14:textFill>
        </w:rPr>
      </w:pPr>
    </w:p>
    <w:p>
      <w:pPr>
        <w:widowControl/>
        <w:spacing w:line="500" w:lineRule="exact"/>
        <w:jc w:val="left"/>
        <w:rPr>
          <w:rFonts w:ascii="宋体"/>
          <w:color w:val="000000" w:themeColor="text1"/>
          <w:sz w:val="24"/>
          <w:szCs w:val="24"/>
          <w14:textFill>
            <w14:solidFill>
              <w14:schemeClr w14:val="tx1"/>
            </w14:solidFill>
          </w14:textFill>
        </w:rPr>
      </w:pPr>
    </w:p>
    <w:p>
      <w:pPr>
        <w:widowControl/>
        <w:spacing w:line="500" w:lineRule="exact"/>
        <w:jc w:val="left"/>
        <w:rPr>
          <w:rFonts w:ascii="宋体"/>
          <w:color w:val="000000" w:themeColor="text1"/>
          <w:sz w:val="24"/>
          <w:szCs w:val="24"/>
          <w14:textFill>
            <w14:solidFill>
              <w14:schemeClr w14:val="tx1"/>
            </w14:solidFill>
          </w14:textFill>
        </w:rPr>
      </w:pPr>
    </w:p>
    <w:p>
      <w:pPr>
        <w:widowControl/>
        <w:spacing w:line="500" w:lineRule="exact"/>
        <w:jc w:val="left"/>
        <w:rPr>
          <w:rFonts w:ascii="宋体"/>
          <w:color w:val="000000" w:themeColor="text1"/>
          <w:sz w:val="24"/>
          <w:szCs w:val="24"/>
          <w14:textFill>
            <w14:solidFill>
              <w14:schemeClr w14:val="tx1"/>
            </w14:solidFill>
          </w14:textFill>
        </w:rPr>
      </w:pPr>
    </w:p>
    <w:bookmarkEnd w:id="130"/>
    <w:bookmarkEnd w:id="131"/>
    <w:bookmarkEnd w:id="139"/>
    <w:p>
      <w:pPr>
        <w:rPr>
          <w:color w:val="000000" w:themeColor="text1"/>
          <w14:textFill>
            <w14:solidFill>
              <w14:schemeClr w14:val="tx1"/>
            </w14:solidFill>
          </w14:textFill>
        </w:rPr>
      </w:pPr>
    </w:p>
    <w:sectPr>
      <w:headerReference r:id="rId3" w:type="default"/>
      <w:footerReference r:id="rId4" w:type="default"/>
      <w:footerReference r:id="rId5" w:type="even"/>
      <w:pgSz w:w="11906" w:h="16838"/>
      <w:pgMar w:top="1418" w:right="1588" w:bottom="1418" w:left="1365" w:header="851" w:footer="907" w:gutter="0"/>
      <w:pgNumType w:fmt="numberInDash" w:start="0"/>
      <w:cols w:space="425"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2010609060101010101"/>
    <w:charset w:val="86"/>
    <w:family w:val="modern"/>
    <w:pitch w:val="default"/>
    <w:sig w:usb0="00000000" w:usb1="00000000"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6"/>
        <w:rFonts w:ascii="宋体"/>
      </w:rPr>
    </w:pPr>
    <w:r>
      <w:rPr>
        <w:rStyle w:val="36"/>
        <w:rFonts w:ascii="宋体" w:hAnsi="宋体"/>
      </w:rPr>
      <w:fldChar w:fldCharType="begin"/>
    </w:r>
    <w:r>
      <w:rPr>
        <w:rStyle w:val="36"/>
        <w:rFonts w:ascii="宋体" w:hAnsi="宋体"/>
      </w:rPr>
      <w:instrText xml:space="preserve">PAGE  </w:instrText>
    </w:r>
    <w:r>
      <w:rPr>
        <w:rStyle w:val="36"/>
        <w:rFonts w:ascii="宋体" w:hAnsi="宋体"/>
      </w:rPr>
      <w:fldChar w:fldCharType="separate"/>
    </w:r>
    <w:r>
      <w:rPr>
        <w:rStyle w:val="36"/>
        <w:rFonts w:ascii="宋体" w:hAnsi="宋体"/>
      </w:rPr>
      <w:t>- 29 -</w:t>
    </w:r>
    <w:r>
      <w:rPr>
        <w:rStyle w:val="36"/>
        <w:rFonts w:ascii="宋体" w:hAnsi="宋体"/>
      </w:rPr>
      <w:fldChar w:fldCharType="end"/>
    </w:r>
  </w:p>
  <w:p>
    <w:pPr>
      <w:pStyle w:val="24"/>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6"/>
      </w:rPr>
    </w:pPr>
    <w:r>
      <w:rPr>
        <w:rStyle w:val="36"/>
      </w:rPr>
      <w:fldChar w:fldCharType="begin"/>
    </w:r>
    <w:r>
      <w:rPr>
        <w:rStyle w:val="36"/>
      </w:rPr>
      <w:instrText xml:space="preserve">PAGE  </w:instrText>
    </w:r>
    <w:r>
      <w:rPr>
        <w:rStyle w:val="36"/>
      </w:rPr>
      <w:fldChar w:fldCharType="separate"/>
    </w:r>
    <w:r>
      <w:rPr>
        <w:rStyle w:val="36"/>
      </w:rPr>
      <w:t>1</w:t>
    </w:r>
    <w:r>
      <w:rPr>
        <w:rStyle w:val="36"/>
      </w:rP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rPr>
        <w:rFonts w:ascii="楷体" w:hAnsi="楷体" w:eastAsia="楷体"/>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A3DFE"/>
    <w:multiLevelType w:val="singleLevel"/>
    <w:tmpl w:val="23CA3DFE"/>
    <w:lvl w:ilvl="0" w:tentative="0">
      <w:start w:val="1"/>
      <w:numFmt w:val="decimal"/>
      <w:lvlText w:val="%1、"/>
      <w:lvlJc w:val="left"/>
      <w:pPr>
        <w:tabs>
          <w:tab w:val="left" w:pos="480"/>
        </w:tabs>
        <w:ind w:left="480" w:hanging="480"/>
      </w:pPr>
      <w:rPr>
        <w:rFonts w:cs="Times New Roman"/>
      </w:rPr>
    </w:lvl>
  </w:abstractNum>
  <w:abstractNum w:abstractNumId="1">
    <w:nsid w:val="5C7E0EE5"/>
    <w:multiLevelType w:val="multilevel"/>
    <w:tmpl w:val="5C7E0EE5"/>
    <w:lvl w:ilvl="0" w:tentative="0">
      <w:start w:val="1"/>
      <w:numFmt w:val="chineseCountingThousand"/>
      <w:suff w:val="nothing"/>
      <w:lvlText w:val="第%1章 "/>
      <w:lvlJc w:val="left"/>
      <w:rPr>
        <w:rFonts w:hint="eastAsia" w:cs="Times New Roman"/>
      </w:rPr>
    </w:lvl>
    <w:lvl w:ilvl="1" w:tentative="0">
      <w:start w:val="1"/>
      <w:numFmt w:val="decimal"/>
      <w:suff w:val="nothing"/>
      <w:lvlText w:val="%2、"/>
      <w:lvlJc w:val="left"/>
      <w:rPr>
        <w:rFonts w:hint="eastAsia" w:cs="Times New Roman"/>
      </w:rPr>
    </w:lvl>
    <w:lvl w:ilvl="2" w:tentative="0">
      <w:start w:val="1"/>
      <w:numFmt w:val="decimal"/>
      <w:suff w:val="nothing"/>
      <w:lvlText w:val="%2.%3 "/>
      <w:lvlJc w:val="left"/>
      <w:rPr>
        <w:rFonts w:hint="eastAsia" w:cs="Times New Roman"/>
      </w:rPr>
    </w:lvl>
    <w:lvl w:ilvl="3" w:tentative="0">
      <w:start w:val="1"/>
      <w:numFmt w:val="decimal"/>
      <w:suff w:val="nothing"/>
      <w:lvlText w:val="%2.%3.%4 "/>
      <w:lvlJc w:val="left"/>
      <w:rPr>
        <w:rFonts w:hint="eastAsia" w:cs="Times New Roman"/>
      </w:rPr>
    </w:lvl>
    <w:lvl w:ilvl="4" w:tentative="0">
      <w:start w:val="1"/>
      <w:numFmt w:val="decimal"/>
      <w:suff w:val="nothing"/>
      <w:lvlText w:val="%2.%3.%4.%5 "/>
      <w:lvlJc w:val="left"/>
      <w:rPr>
        <w:rFonts w:hint="eastAsia" w:cs="Times New Roman"/>
      </w:rPr>
    </w:lvl>
    <w:lvl w:ilvl="5" w:tentative="0">
      <w:start w:val="1"/>
      <w:numFmt w:val="none"/>
      <w:pStyle w:val="9"/>
      <w:suff w:val="nothing"/>
      <w:lvlText w:val=""/>
      <w:lvlJc w:val="left"/>
      <w:rPr>
        <w:rFonts w:hint="eastAsia" w:cs="Times New Roman"/>
      </w:rPr>
    </w:lvl>
    <w:lvl w:ilvl="6" w:tentative="0">
      <w:start w:val="1"/>
      <w:numFmt w:val="none"/>
      <w:pStyle w:val="10"/>
      <w:suff w:val="nothing"/>
      <w:lvlText w:val=""/>
      <w:lvlJc w:val="left"/>
      <w:rPr>
        <w:rFonts w:hint="eastAsia" w:cs="Times New Roman"/>
      </w:rPr>
    </w:lvl>
    <w:lvl w:ilvl="7" w:tentative="0">
      <w:start w:val="1"/>
      <w:numFmt w:val="none"/>
      <w:pStyle w:val="11"/>
      <w:suff w:val="nothing"/>
      <w:lvlText w:val=""/>
      <w:lvlJc w:val="left"/>
      <w:rPr>
        <w:rFonts w:hint="eastAsia" w:cs="Times New Roman"/>
      </w:rPr>
    </w:lvl>
    <w:lvl w:ilvl="8" w:tentative="0">
      <w:start w:val="1"/>
      <w:numFmt w:val="none"/>
      <w:pStyle w:val="12"/>
      <w:suff w:val="nothing"/>
      <w:lvlText w:val=""/>
      <w:lvlJc w:val="left"/>
      <w:rPr>
        <w:rFonts w:hint="eastAsia" w:cs="Times New Roman"/>
      </w:rPr>
    </w:lvl>
  </w:abstractNum>
  <w:abstractNum w:abstractNumId="2">
    <w:nsid w:val="6102ECFA"/>
    <w:multiLevelType w:val="singleLevel"/>
    <w:tmpl w:val="6102ECF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C3"/>
    <w:rsid w:val="00014898"/>
    <w:rsid w:val="0002101B"/>
    <w:rsid w:val="00022E96"/>
    <w:rsid w:val="000260AC"/>
    <w:rsid w:val="000328B9"/>
    <w:rsid w:val="00034F55"/>
    <w:rsid w:val="00042FDF"/>
    <w:rsid w:val="000433E8"/>
    <w:rsid w:val="00044E0A"/>
    <w:rsid w:val="0004545D"/>
    <w:rsid w:val="0005110F"/>
    <w:rsid w:val="00053743"/>
    <w:rsid w:val="000568D2"/>
    <w:rsid w:val="00063CD7"/>
    <w:rsid w:val="0008553B"/>
    <w:rsid w:val="00087D36"/>
    <w:rsid w:val="00093038"/>
    <w:rsid w:val="000A7FF9"/>
    <w:rsid w:val="000B1961"/>
    <w:rsid w:val="000B60C0"/>
    <w:rsid w:val="000C08D7"/>
    <w:rsid w:val="000D5EF5"/>
    <w:rsid w:val="000E037C"/>
    <w:rsid w:val="000E5FF0"/>
    <w:rsid w:val="000F77C4"/>
    <w:rsid w:val="000F7927"/>
    <w:rsid w:val="00100527"/>
    <w:rsid w:val="00105F07"/>
    <w:rsid w:val="00111F87"/>
    <w:rsid w:val="0011312C"/>
    <w:rsid w:val="00113133"/>
    <w:rsid w:val="001164A2"/>
    <w:rsid w:val="00116777"/>
    <w:rsid w:val="00122B1D"/>
    <w:rsid w:val="0012312C"/>
    <w:rsid w:val="00126717"/>
    <w:rsid w:val="001314E2"/>
    <w:rsid w:val="00135D3B"/>
    <w:rsid w:val="001373DC"/>
    <w:rsid w:val="0014040A"/>
    <w:rsid w:val="00143B57"/>
    <w:rsid w:val="00145FA2"/>
    <w:rsid w:val="00150410"/>
    <w:rsid w:val="00150890"/>
    <w:rsid w:val="00151728"/>
    <w:rsid w:val="00157962"/>
    <w:rsid w:val="001602FA"/>
    <w:rsid w:val="00167070"/>
    <w:rsid w:val="00167D5D"/>
    <w:rsid w:val="00172496"/>
    <w:rsid w:val="00172CAE"/>
    <w:rsid w:val="00173262"/>
    <w:rsid w:val="00173636"/>
    <w:rsid w:val="00173788"/>
    <w:rsid w:val="001754A7"/>
    <w:rsid w:val="001807F6"/>
    <w:rsid w:val="001833B7"/>
    <w:rsid w:val="00184235"/>
    <w:rsid w:val="00191014"/>
    <w:rsid w:val="00192E7E"/>
    <w:rsid w:val="001A2103"/>
    <w:rsid w:val="001A4EB2"/>
    <w:rsid w:val="001A56D2"/>
    <w:rsid w:val="001B408D"/>
    <w:rsid w:val="001C3E07"/>
    <w:rsid w:val="001C4ED1"/>
    <w:rsid w:val="001C4FB1"/>
    <w:rsid w:val="001C5A6B"/>
    <w:rsid w:val="001C7611"/>
    <w:rsid w:val="001D53D7"/>
    <w:rsid w:val="001D68C7"/>
    <w:rsid w:val="001E4DB5"/>
    <w:rsid w:val="001E542D"/>
    <w:rsid w:val="001F09DB"/>
    <w:rsid w:val="001F0C7F"/>
    <w:rsid w:val="00201655"/>
    <w:rsid w:val="00202013"/>
    <w:rsid w:val="002031EF"/>
    <w:rsid w:val="00205A05"/>
    <w:rsid w:val="00210BAC"/>
    <w:rsid w:val="0021140E"/>
    <w:rsid w:val="00215DC1"/>
    <w:rsid w:val="002161B8"/>
    <w:rsid w:val="00221965"/>
    <w:rsid w:val="00221A59"/>
    <w:rsid w:val="00230E24"/>
    <w:rsid w:val="0023210C"/>
    <w:rsid w:val="002330E3"/>
    <w:rsid w:val="00233FCD"/>
    <w:rsid w:val="00243D1D"/>
    <w:rsid w:val="0024413C"/>
    <w:rsid w:val="00244EEA"/>
    <w:rsid w:val="002538D2"/>
    <w:rsid w:val="00253B60"/>
    <w:rsid w:val="00261CE2"/>
    <w:rsid w:val="00261F8C"/>
    <w:rsid w:val="0027299E"/>
    <w:rsid w:val="00274F8F"/>
    <w:rsid w:val="00281BB0"/>
    <w:rsid w:val="0028239B"/>
    <w:rsid w:val="002850E1"/>
    <w:rsid w:val="00286F95"/>
    <w:rsid w:val="0028786E"/>
    <w:rsid w:val="00287879"/>
    <w:rsid w:val="002933D1"/>
    <w:rsid w:val="00297EC6"/>
    <w:rsid w:val="002A0AAC"/>
    <w:rsid w:val="002A366F"/>
    <w:rsid w:val="002B3EE3"/>
    <w:rsid w:val="002B429F"/>
    <w:rsid w:val="002C3F38"/>
    <w:rsid w:val="002C69C3"/>
    <w:rsid w:val="002C6E21"/>
    <w:rsid w:val="002D3450"/>
    <w:rsid w:val="002D6983"/>
    <w:rsid w:val="002E41E3"/>
    <w:rsid w:val="002E5044"/>
    <w:rsid w:val="002F38FA"/>
    <w:rsid w:val="002F47C7"/>
    <w:rsid w:val="002F7361"/>
    <w:rsid w:val="00300649"/>
    <w:rsid w:val="00303CA3"/>
    <w:rsid w:val="00303E72"/>
    <w:rsid w:val="00316663"/>
    <w:rsid w:val="003340F5"/>
    <w:rsid w:val="00341CFD"/>
    <w:rsid w:val="003454E9"/>
    <w:rsid w:val="003509F7"/>
    <w:rsid w:val="00350EA5"/>
    <w:rsid w:val="00353FD2"/>
    <w:rsid w:val="0035538B"/>
    <w:rsid w:val="0036297C"/>
    <w:rsid w:val="003635FE"/>
    <w:rsid w:val="00363F9E"/>
    <w:rsid w:val="0037064A"/>
    <w:rsid w:val="00375EA8"/>
    <w:rsid w:val="00376312"/>
    <w:rsid w:val="00376C73"/>
    <w:rsid w:val="00377F65"/>
    <w:rsid w:val="00377FB5"/>
    <w:rsid w:val="00383185"/>
    <w:rsid w:val="00383F7F"/>
    <w:rsid w:val="0038499F"/>
    <w:rsid w:val="003934B9"/>
    <w:rsid w:val="003943DD"/>
    <w:rsid w:val="00395176"/>
    <w:rsid w:val="003A3DA8"/>
    <w:rsid w:val="003A5717"/>
    <w:rsid w:val="003A5972"/>
    <w:rsid w:val="003B0F32"/>
    <w:rsid w:val="003B1659"/>
    <w:rsid w:val="003B381C"/>
    <w:rsid w:val="003B636B"/>
    <w:rsid w:val="003C0145"/>
    <w:rsid w:val="003C11D1"/>
    <w:rsid w:val="003C47D5"/>
    <w:rsid w:val="003D0584"/>
    <w:rsid w:val="003D4372"/>
    <w:rsid w:val="003D4A9A"/>
    <w:rsid w:val="003D4FAB"/>
    <w:rsid w:val="003D7432"/>
    <w:rsid w:val="003D7C9A"/>
    <w:rsid w:val="003F2998"/>
    <w:rsid w:val="003F32E1"/>
    <w:rsid w:val="003F3E4A"/>
    <w:rsid w:val="003F6C64"/>
    <w:rsid w:val="0040090B"/>
    <w:rsid w:val="00403410"/>
    <w:rsid w:val="004150B3"/>
    <w:rsid w:val="0042363A"/>
    <w:rsid w:val="00426FA2"/>
    <w:rsid w:val="004308CE"/>
    <w:rsid w:val="004315A7"/>
    <w:rsid w:val="004351DE"/>
    <w:rsid w:val="004374DE"/>
    <w:rsid w:val="00437DAD"/>
    <w:rsid w:val="004420BC"/>
    <w:rsid w:val="00443946"/>
    <w:rsid w:val="004478A1"/>
    <w:rsid w:val="0045170E"/>
    <w:rsid w:val="00454E2B"/>
    <w:rsid w:val="00456BD4"/>
    <w:rsid w:val="0046247E"/>
    <w:rsid w:val="00464741"/>
    <w:rsid w:val="00471356"/>
    <w:rsid w:val="00472B24"/>
    <w:rsid w:val="00473C60"/>
    <w:rsid w:val="00475726"/>
    <w:rsid w:val="00484A1B"/>
    <w:rsid w:val="00485B9C"/>
    <w:rsid w:val="00485CE1"/>
    <w:rsid w:val="004A06E6"/>
    <w:rsid w:val="004A21FF"/>
    <w:rsid w:val="004A26D9"/>
    <w:rsid w:val="004A53D1"/>
    <w:rsid w:val="004C1733"/>
    <w:rsid w:val="004C246A"/>
    <w:rsid w:val="004C2A19"/>
    <w:rsid w:val="004C4107"/>
    <w:rsid w:val="004D2EA0"/>
    <w:rsid w:val="004D3822"/>
    <w:rsid w:val="004D3BEE"/>
    <w:rsid w:val="004E33BB"/>
    <w:rsid w:val="004E3A95"/>
    <w:rsid w:val="004E4030"/>
    <w:rsid w:val="004F0ED7"/>
    <w:rsid w:val="004F72FB"/>
    <w:rsid w:val="00500D06"/>
    <w:rsid w:val="00501C61"/>
    <w:rsid w:val="005032F1"/>
    <w:rsid w:val="00504A02"/>
    <w:rsid w:val="005162B3"/>
    <w:rsid w:val="00521780"/>
    <w:rsid w:val="0052451D"/>
    <w:rsid w:val="005245A6"/>
    <w:rsid w:val="00525ABA"/>
    <w:rsid w:val="005300F4"/>
    <w:rsid w:val="00530366"/>
    <w:rsid w:val="005366B2"/>
    <w:rsid w:val="00540EB4"/>
    <w:rsid w:val="0054405C"/>
    <w:rsid w:val="00556FAA"/>
    <w:rsid w:val="0056503B"/>
    <w:rsid w:val="005702DC"/>
    <w:rsid w:val="00571182"/>
    <w:rsid w:val="00571DCE"/>
    <w:rsid w:val="00572FFE"/>
    <w:rsid w:val="00576C13"/>
    <w:rsid w:val="00583AD2"/>
    <w:rsid w:val="00592802"/>
    <w:rsid w:val="00592F86"/>
    <w:rsid w:val="00596087"/>
    <w:rsid w:val="005A52E5"/>
    <w:rsid w:val="005B426E"/>
    <w:rsid w:val="005B67E9"/>
    <w:rsid w:val="005C2680"/>
    <w:rsid w:val="005C463B"/>
    <w:rsid w:val="005C7784"/>
    <w:rsid w:val="005D6455"/>
    <w:rsid w:val="005E45B6"/>
    <w:rsid w:val="005F08CD"/>
    <w:rsid w:val="005F3452"/>
    <w:rsid w:val="005F41EC"/>
    <w:rsid w:val="005F4C5A"/>
    <w:rsid w:val="005F5069"/>
    <w:rsid w:val="005F7BB6"/>
    <w:rsid w:val="00602BC5"/>
    <w:rsid w:val="00602D89"/>
    <w:rsid w:val="006039CE"/>
    <w:rsid w:val="00607105"/>
    <w:rsid w:val="00610A69"/>
    <w:rsid w:val="00621C87"/>
    <w:rsid w:val="006245D1"/>
    <w:rsid w:val="00626691"/>
    <w:rsid w:val="0063046B"/>
    <w:rsid w:val="006317DD"/>
    <w:rsid w:val="00640822"/>
    <w:rsid w:val="00640E5A"/>
    <w:rsid w:val="00641A51"/>
    <w:rsid w:val="00650DFD"/>
    <w:rsid w:val="00654001"/>
    <w:rsid w:val="00670EEE"/>
    <w:rsid w:val="00673B05"/>
    <w:rsid w:val="006847A7"/>
    <w:rsid w:val="00687C15"/>
    <w:rsid w:val="00694760"/>
    <w:rsid w:val="00694F0C"/>
    <w:rsid w:val="00697C08"/>
    <w:rsid w:val="006A2A9F"/>
    <w:rsid w:val="006A30AF"/>
    <w:rsid w:val="006A45AB"/>
    <w:rsid w:val="006A4FB7"/>
    <w:rsid w:val="006A61FD"/>
    <w:rsid w:val="006B7954"/>
    <w:rsid w:val="006C59C7"/>
    <w:rsid w:val="006C5BB6"/>
    <w:rsid w:val="006D5CF5"/>
    <w:rsid w:val="006D7FBA"/>
    <w:rsid w:val="006E171D"/>
    <w:rsid w:val="007128F9"/>
    <w:rsid w:val="00714244"/>
    <w:rsid w:val="007257BB"/>
    <w:rsid w:val="0073181E"/>
    <w:rsid w:val="007328D5"/>
    <w:rsid w:val="0073340A"/>
    <w:rsid w:val="007417D0"/>
    <w:rsid w:val="007437C3"/>
    <w:rsid w:val="007444C9"/>
    <w:rsid w:val="00761C69"/>
    <w:rsid w:val="00764B03"/>
    <w:rsid w:val="00780722"/>
    <w:rsid w:val="00785FFD"/>
    <w:rsid w:val="0078668A"/>
    <w:rsid w:val="007927F1"/>
    <w:rsid w:val="00794CF5"/>
    <w:rsid w:val="00796106"/>
    <w:rsid w:val="007A2A2C"/>
    <w:rsid w:val="007B5BD3"/>
    <w:rsid w:val="007B6F82"/>
    <w:rsid w:val="007C5524"/>
    <w:rsid w:val="007D163A"/>
    <w:rsid w:val="007D1FD8"/>
    <w:rsid w:val="007D27E9"/>
    <w:rsid w:val="007D5C6D"/>
    <w:rsid w:val="007D7D6F"/>
    <w:rsid w:val="007E1DFE"/>
    <w:rsid w:val="007F2A94"/>
    <w:rsid w:val="007F57B4"/>
    <w:rsid w:val="00802E40"/>
    <w:rsid w:val="00804844"/>
    <w:rsid w:val="00804E70"/>
    <w:rsid w:val="00810133"/>
    <w:rsid w:val="00821A84"/>
    <w:rsid w:val="00824FC4"/>
    <w:rsid w:val="008329E8"/>
    <w:rsid w:val="00835B40"/>
    <w:rsid w:val="00835C2E"/>
    <w:rsid w:val="0083600E"/>
    <w:rsid w:val="008371BF"/>
    <w:rsid w:val="008451AC"/>
    <w:rsid w:val="00846B65"/>
    <w:rsid w:val="008471F4"/>
    <w:rsid w:val="008519E9"/>
    <w:rsid w:val="00851B12"/>
    <w:rsid w:val="00856B2F"/>
    <w:rsid w:val="00857B05"/>
    <w:rsid w:val="00857D54"/>
    <w:rsid w:val="008611BB"/>
    <w:rsid w:val="008656F4"/>
    <w:rsid w:val="0086638F"/>
    <w:rsid w:val="0087340B"/>
    <w:rsid w:val="00880530"/>
    <w:rsid w:val="008938EA"/>
    <w:rsid w:val="00893D16"/>
    <w:rsid w:val="0089578E"/>
    <w:rsid w:val="008965CE"/>
    <w:rsid w:val="00897B6E"/>
    <w:rsid w:val="008A2C81"/>
    <w:rsid w:val="008A4C0D"/>
    <w:rsid w:val="008A4DD0"/>
    <w:rsid w:val="008A6A3A"/>
    <w:rsid w:val="008B480B"/>
    <w:rsid w:val="008D2902"/>
    <w:rsid w:val="008D6379"/>
    <w:rsid w:val="008D7579"/>
    <w:rsid w:val="008E23E5"/>
    <w:rsid w:val="008F0087"/>
    <w:rsid w:val="008F2793"/>
    <w:rsid w:val="008F2FFB"/>
    <w:rsid w:val="008F6A60"/>
    <w:rsid w:val="0090557A"/>
    <w:rsid w:val="00910F1F"/>
    <w:rsid w:val="00911295"/>
    <w:rsid w:val="009149CD"/>
    <w:rsid w:val="00915BB7"/>
    <w:rsid w:val="00917008"/>
    <w:rsid w:val="00922EC7"/>
    <w:rsid w:val="00930B3A"/>
    <w:rsid w:val="00937B06"/>
    <w:rsid w:val="00942F5E"/>
    <w:rsid w:val="00943883"/>
    <w:rsid w:val="009547CD"/>
    <w:rsid w:val="00956FDC"/>
    <w:rsid w:val="009603F7"/>
    <w:rsid w:val="0096253F"/>
    <w:rsid w:val="0097183B"/>
    <w:rsid w:val="00977374"/>
    <w:rsid w:val="00981BF4"/>
    <w:rsid w:val="009A4E6E"/>
    <w:rsid w:val="009B204D"/>
    <w:rsid w:val="009B68A4"/>
    <w:rsid w:val="009C07CE"/>
    <w:rsid w:val="009C0CD4"/>
    <w:rsid w:val="009C15B2"/>
    <w:rsid w:val="009C15C3"/>
    <w:rsid w:val="009C6780"/>
    <w:rsid w:val="009D02A6"/>
    <w:rsid w:val="009D2110"/>
    <w:rsid w:val="009E1944"/>
    <w:rsid w:val="009E3522"/>
    <w:rsid w:val="009F08F4"/>
    <w:rsid w:val="00A031EB"/>
    <w:rsid w:val="00A036F2"/>
    <w:rsid w:val="00A10711"/>
    <w:rsid w:val="00A12885"/>
    <w:rsid w:val="00A233CC"/>
    <w:rsid w:val="00A2643C"/>
    <w:rsid w:val="00A26B02"/>
    <w:rsid w:val="00A34FCD"/>
    <w:rsid w:val="00A3672B"/>
    <w:rsid w:val="00A40C79"/>
    <w:rsid w:val="00A42673"/>
    <w:rsid w:val="00A42A6F"/>
    <w:rsid w:val="00A436FC"/>
    <w:rsid w:val="00A617A2"/>
    <w:rsid w:val="00A67D30"/>
    <w:rsid w:val="00A70F77"/>
    <w:rsid w:val="00A71A03"/>
    <w:rsid w:val="00A72DDC"/>
    <w:rsid w:val="00A81252"/>
    <w:rsid w:val="00A86D80"/>
    <w:rsid w:val="00AA0338"/>
    <w:rsid w:val="00AB2EA1"/>
    <w:rsid w:val="00AC2A84"/>
    <w:rsid w:val="00AC3025"/>
    <w:rsid w:val="00AC427E"/>
    <w:rsid w:val="00AC645A"/>
    <w:rsid w:val="00AC7FE4"/>
    <w:rsid w:val="00AD7EF8"/>
    <w:rsid w:val="00AE6415"/>
    <w:rsid w:val="00AF654D"/>
    <w:rsid w:val="00B2286D"/>
    <w:rsid w:val="00B27311"/>
    <w:rsid w:val="00B27674"/>
    <w:rsid w:val="00B30528"/>
    <w:rsid w:val="00B37445"/>
    <w:rsid w:val="00B40C7D"/>
    <w:rsid w:val="00B45B75"/>
    <w:rsid w:val="00B71872"/>
    <w:rsid w:val="00B77714"/>
    <w:rsid w:val="00B837C6"/>
    <w:rsid w:val="00B9171F"/>
    <w:rsid w:val="00B93460"/>
    <w:rsid w:val="00B95CBB"/>
    <w:rsid w:val="00B97674"/>
    <w:rsid w:val="00BA004E"/>
    <w:rsid w:val="00BA158B"/>
    <w:rsid w:val="00BA38F4"/>
    <w:rsid w:val="00BA6615"/>
    <w:rsid w:val="00BA7C96"/>
    <w:rsid w:val="00BB7661"/>
    <w:rsid w:val="00BC314C"/>
    <w:rsid w:val="00BC7C01"/>
    <w:rsid w:val="00BD0652"/>
    <w:rsid w:val="00BD12FD"/>
    <w:rsid w:val="00BE7D10"/>
    <w:rsid w:val="00BF7363"/>
    <w:rsid w:val="00BF7787"/>
    <w:rsid w:val="00BF7F6F"/>
    <w:rsid w:val="00C06774"/>
    <w:rsid w:val="00C072EB"/>
    <w:rsid w:val="00C16326"/>
    <w:rsid w:val="00C16C6E"/>
    <w:rsid w:val="00C17F25"/>
    <w:rsid w:val="00C30907"/>
    <w:rsid w:val="00C36D11"/>
    <w:rsid w:val="00C409AC"/>
    <w:rsid w:val="00C418AF"/>
    <w:rsid w:val="00C444B4"/>
    <w:rsid w:val="00C44B22"/>
    <w:rsid w:val="00C459DB"/>
    <w:rsid w:val="00C5117C"/>
    <w:rsid w:val="00C5227D"/>
    <w:rsid w:val="00C53AA3"/>
    <w:rsid w:val="00C577F3"/>
    <w:rsid w:val="00C6431D"/>
    <w:rsid w:val="00C666DA"/>
    <w:rsid w:val="00C66FE4"/>
    <w:rsid w:val="00C731DF"/>
    <w:rsid w:val="00C82779"/>
    <w:rsid w:val="00C8530D"/>
    <w:rsid w:val="00C85419"/>
    <w:rsid w:val="00C871D8"/>
    <w:rsid w:val="00C92399"/>
    <w:rsid w:val="00C947EF"/>
    <w:rsid w:val="00CA31D6"/>
    <w:rsid w:val="00CA3DB9"/>
    <w:rsid w:val="00CA7389"/>
    <w:rsid w:val="00CB0256"/>
    <w:rsid w:val="00CB1772"/>
    <w:rsid w:val="00CB186B"/>
    <w:rsid w:val="00CB58AD"/>
    <w:rsid w:val="00CD795E"/>
    <w:rsid w:val="00CE07A8"/>
    <w:rsid w:val="00CE7EED"/>
    <w:rsid w:val="00CF207E"/>
    <w:rsid w:val="00CF73F0"/>
    <w:rsid w:val="00D04B50"/>
    <w:rsid w:val="00D05635"/>
    <w:rsid w:val="00D124AD"/>
    <w:rsid w:val="00D147F0"/>
    <w:rsid w:val="00D333DA"/>
    <w:rsid w:val="00D43644"/>
    <w:rsid w:val="00D445EA"/>
    <w:rsid w:val="00D45411"/>
    <w:rsid w:val="00D46A76"/>
    <w:rsid w:val="00D46E39"/>
    <w:rsid w:val="00D522E2"/>
    <w:rsid w:val="00D55DFF"/>
    <w:rsid w:val="00D57107"/>
    <w:rsid w:val="00D60259"/>
    <w:rsid w:val="00D621CB"/>
    <w:rsid w:val="00D6456F"/>
    <w:rsid w:val="00D665B8"/>
    <w:rsid w:val="00D74306"/>
    <w:rsid w:val="00D7625F"/>
    <w:rsid w:val="00D84ACE"/>
    <w:rsid w:val="00D86623"/>
    <w:rsid w:val="00D87715"/>
    <w:rsid w:val="00D918F7"/>
    <w:rsid w:val="00D974AC"/>
    <w:rsid w:val="00DA6A80"/>
    <w:rsid w:val="00DA7694"/>
    <w:rsid w:val="00DB2594"/>
    <w:rsid w:val="00DC32E5"/>
    <w:rsid w:val="00DC79F1"/>
    <w:rsid w:val="00DD0BFC"/>
    <w:rsid w:val="00DD52AF"/>
    <w:rsid w:val="00DD6E2C"/>
    <w:rsid w:val="00DE208C"/>
    <w:rsid w:val="00DF1698"/>
    <w:rsid w:val="00DF44D0"/>
    <w:rsid w:val="00E00225"/>
    <w:rsid w:val="00E043CD"/>
    <w:rsid w:val="00E05358"/>
    <w:rsid w:val="00E13CB0"/>
    <w:rsid w:val="00E148D0"/>
    <w:rsid w:val="00E22CFA"/>
    <w:rsid w:val="00E23132"/>
    <w:rsid w:val="00E263C4"/>
    <w:rsid w:val="00E359D2"/>
    <w:rsid w:val="00E4007B"/>
    <w:rsid w:val="00E444C3"/>
    <w:rsid w:val="00E532A3"/>
    <w:rsid w:val="00E57B48"/>
    <w:rsid w:val="00E635FA"/>
    <w:rsid w:val="00E74B6A"/>
    <w:rsid w:val="00E7558C"/>
    <w:rsid w:val="00E76E9B"/>
    <w:rsid w:val="00E80975"/>
    <w:rsid w:val="00E90C94"/>
    <w:rsid w:val="00E97AC5"/>
    <w:rsid w:val="00EA0422"/>
    <w:rsid w:val="00EA3D83"/>
    <w:rsid w:val="00EB1C95"/>
    <w:rsid w:val="00EB66A2"/>
    <w:rsid w:val="00EB7E87"/>
    <w:rsid w:val="00EC044D"/>
    <w:rsid w:val="00EC1DEB"/>
    <w:rsid w:val="00ED1D40"/>
    <w:rsid w:val="00EE27AD"/>
    <w:rsid w:val="00EF522D"/>
    <w:rsid w:val="00EF63F0"/>
    <w:rsid w:val="00EF7481"/>
    <w:rsid w:val="00F0348A"/>
    <w:rsid w:val="00F07923"/>
    <w:rsid w:val="00F110D8"/>
    <w:rsid w:val="00F26285"/>
    <w:rsid w:val="00F364B8"/>
    <w:rsid w:val="00F4761F"/>
    <w:rsid w:val="00F649B1"/>
    <w:rsid w:val="00F66644"/>
    <w:rsid w:val="00F67AFF"/>
    <w:rsid w:val="00F70761"/>
    <w:rsid w:val="00F8123F"/>
    <w:rsid w:val="00F82B45"/>
    <w:rsid w:val="00F84749"/>
    <w:rsid w:val="00F86BD1"/>
    <w:rsid w:val="00F91996"/>
    <w:rsid w:val="00F92BAB"/>
    <w:rsid w:val="00FA137D"/>
    <w:rsid w:val="00FA44B0"/>
    <w:rsid w:val="00FB74BC"/>
    <w:rsid w:val="00FC6910"/>
    <w:rsid w:val="00FC6921"/>
    <w:rsid w:val="00FC6D79"/>
    <w:rsid w:val="00FD3964"/>
    <w:rsid w:val="00FE27F1"/>
    <w:rsid w:val="00FE2C1B"/>
    <w:rsid w:val="00FE33D1"/>
    <w:rsid w:val="00FE76BB"/>
    <w:rsid w:val="00FF5E0D"/>
    <w:rsid w:val="00FF66BF"/>
    <w:rsid w:val="01A95928"/>
    <w:rsid w:val="01BA74D8"/>
    <w:rsid w:val="01F41376"/>
    <w:rsid w:val="05CB5824"/>
    <w:rsid w:val="06FE791D"/>
    <w:rsid w:val="08530D0B"/>
    <w:rsid w:val="089F16FF"/>
    <w:rsid w:val="08E1237A"/>
    <w:rsid w:val="099519C5"/>
    <w:rsid w:val="0A810267"/>
    <w:rsid w:val="0AAD5EED"/>
    <w:rsid w:val="0B27191F"/>
    <w:rsid w:val="0B7135D8"/>
    <w:rsid w:val="0CC57E30"/>
    <w:rsid w:val="12DE5484"/>
    <w:rsid w:val="1A9E051C"/>
    <w:rsid w:val="1EA763A4"/>
    <w:rsid w:val="24C7047D"/>
    <w:rsid w:val="24D31A18"/>
    <w:rsid w:val="24E923FB"/>
    <w:rsid w:val="26961CD0"/>
    <w:rsid w:val="26B96E8C"/>
    <w:rsid w:val="26F249ED"/>
    <w:rsid w:val="277631E0"/>
    <w:rsid w:val="284D4E43"/>
    <w:rsid w:val="2A7549B2"/>
    <w:rsid w:val="2DF930BE"/>
    <w:rsid w:val="31C13AFB"/>
    <w:rsid w:val="31DD78B1"/>
    <w:rsid w:val="3246124C"/>
    <w:rsid w:val="32FC554A"/>
    <w:rsid w:val="32FE6FB4"/>
    <w:rsid w:val="349959E0"/>
    <w:rsid w:val="37900A99"/>
    <w:rsid w:val="379E36A3"/>
    <w:rsid w:val="394252F7"/>
    <w:rsid w:val="3AFD663D"/>
    <w:rsid w:val="3BFC5475"/>
    <w:rsid w:val="3C87245E"/>
    <w:rsid w:val="3D156BD9"/>
    <w:rsid w:val="3E1C043D"/>
    <w:rsid w:val="40303DA2"/>
    <w:rsid w:val="40BA287C"/>
    <w:rsid w:val="42C81A78"/>
    <w:rsid w:val="454B474F"/>
    <w:rsid w:val="45BA1E50"/>
    <w:rsid w:val="473F06C3"/>
    <w:rsid w:val="48151722"/>
    <w:rsid w:val="4B037AE3"/>
    <w:rsid w:val="4CA850B4"/>
    <w:rsid w:val="4CE87D2B"/>
    <w:rsid w:val="4E261909"/>
    <w:rsid w:val="4EA50F65"/>
    <w:rsid w:val="4F3A24B5"/>
    <w:rsid w:val="4F961B36"/>
    <w:rsid w:val="4FD166E3"/>
    <w:rsid w:val="51C86B63"/>
    <w:rsid w:val="52195388"/>
    <w:rsid w:val="542A263F"/>
    <w:rsid w:val="566B74AA"/>
    <w:rsid w:val="597E615D"/>
    <w:rsid w:val="5A9A5EF1"/>
    <w:rsid w:val="5B316879"/>
    <w:rsid w:val="5CE56EBA"/>
    <w:rsid w:val="5DA161B3"/>
    <w:rsid w:val="5E887797"/>
    <w:rsid w:val="60526D8D"/>
    <w:rsid w:val="63C736E2"/>
    <w:rsid w:val="64270182"/>
    <w:rsid w:val="648A3678"/>
    <w:rsid w:val="666A5CB3"/>
    <w:rsid w:val="66FB07E4"/>
    <w:rsid w:val="67D874B3"/>
    <w:rsid w:val="6AEE477E"/>
    <w:rsid w:val="6BF72402"/>
    <w:rsid w:val="6CC1202A"/>
    <w:rsid w:val="6D232FC7"/>
    <w:rsid w:val="6E592289"/>
    <w:rsid w:val="6EB94B54"/>
    <w:rsid w:val="6ED450D8"/>
    <w:rsid w:val="6EDB0079"/>
    <w:rsid w:val="703C5BEF"/>
    <w:rsid w:val="70FA08E1"/>
    <w:rsid w:val="71AC6215"/>
    <w:rsid w:val="72E01F8E"/>
    <w:rsid w:val="733C3373"/>
    <w:rsid w:val="73A84455"/>
    <w:rsid w:val="74D4448C"/>
    <w:rsid w:val="75870428"/>
    <w:rsid w:val="75E51AE4"/>
    <w:rsid w:val="798E0BAC"/>
    <w:rsid w:val="79C97B7E"/>
    <w:rsid w:val="7A9529ED"/>
    <w:rsid w:val="7C576597"/>
    <w:rsid w:val="7CE8213E"/>
    <w:rsid w:val="7DAF39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0"/>
    <w:qFormat/>
    <w:uiPriority w:val="99"/>
    <w:pPr>
      <w:keepNext/>
      <w:jc w:val="center"/>
      <w:outlineLvl w:val="0"/>
    </w:pPr>
    <w:rPr>
      <w:rFonts w:ascii="KaiTi_GB2312" w:eastAsia="KaiTi_GB2312"/>
      <w:sz w:val="28"/>
      <w:szCs w:val="28"/>
    </w:rPr>
  </w:style>
  <w:style w:type="paragraph" w:styleId="4">
    <w:name w:val="heading 2"/>
    <w:basedOn w:val="1"/>
    <w:next w:val="5"/>
    <w:link w:val="41"/>
    <w:qFormat/>
    <w:uiPriority w:val="99"/>
    <w:pPr>
      <w:keepNext/>
      <w:keepLines/>
      <w:spacing w:before="260" w:after="260" w:line="416" w:lineRule="auto"/>
      <w:jc w:val="center"/>
      <w:outlineLvl w:val="1"/>
    </w:pPr>
    <w:rPr>
      <w:rFonts w:ascii="Arial" w:hAnsi="Arial" w:eastAsia="幼圆" w:cs="Arial"/>
      <w:b/>
      <w:bCs/>
      <w:sz w:val="44"/>
      <w:szCs w:val="44"/>
    </w:rPr>
  </w:style>
  <w:style w:type="paragraph" w:styleId="6">
    <w:name w:val="heading 3"/>
    <w:basedOn w:val="1"/>
    <w:next w:val="5"/>
    <w:link w:val="42"/>
    <w:qFormat/>
    <w:uiPriority w:val="99"/>
    <w:pPr>
      <w:keepNext/>
      <w:keepLines/>
      <w:spacing w:before="260" w:after="260" w:line="416" w:lineRule="auto"/>
      <w:outlineLvl w:val="2"/>
    </w:pPr>
    <w:rPr>
      <w:b/>
      <w:bCs/>
      <w:sz w:val="32"/>
      <w:szCs w:val="32"/>
    </w:rPr>
  </w:style>
  <w:style w:type="paragraph" w:styleId="7">
    <w:name w:val="heading 4"/>
    <w:basedOn w:val="1"/>
    <w:next w:val="5"/>
    <w:link w:val="43"/>
    <w:qFormat/>
    <w:uiPriority w:val="99"/>
    <w:pPr>
      <w:keepNext/>
      <w:keepLines/>
      <w:spacing w:before="280" w:after="290" w:line="376" w:lineRule="auto"/>
      <w:outlineLvl w:val="3"/>
    </w:pPr>
    <w:rPr>
      <w:rFonts w:ascii="Arial" w:hAnsi="Arial" w:eastAsia="黑体" w:cs="Arial"/>
      <w:b/>
      <w:bCs/>
      <w:sz w:val="28"/>
      <w:szCs w:val="28"/>
    </w:rPr>
  </w:style>
  <w:style w:type="paragraph" w:styleId="8">
    <w:name w:val="heading 5"/>
    <w:basedOn w:val="1"/>
    <w:next w:val="5"/>
    <w:link w:val="44"/>
    <w:qFormat/>
    <w:uiPriority w:val="99"/>
    <w:pPr>
      <w:keepNext/>
      <w:autoSpaceDE w:val="0"/>
      <w:autoSpaceDN w:val="0"/>
      <w:adjustRightInd w:val="0"/>
      <w:outlineLvl w:val="4"/>
    </w:pPr>
    <w:rPr>
      <w:rFonts w:ascii="宋体"/>
      <w:color w:val="000000"/>
      <w:kern w:val="0"/>
      <w:sz w:val="28"/>
      <w:szCs w:val="28"/>
    </w:rPr>
  </w:style>
  <w:style w:type="paragraph" w:styleId="9">
    <w:name w:val="heading 6"/>
    <w:basedOn w:val="1"/>
    <w:next w:val="1"/>
    <w:link w:val="45"/>
    <w:qFormat/>
    <w:uiPriority w:val="99"/>
    <w:pPr>
      <w:keepNext/>
      <w:keepLines/>
      <w:numPr>
        <w:ilvl w:val="5"/>
        <w:numId w:val="1"/>
      </w:numPr>
      <w:spacing w:before="240" w:after="64" w:line="320" w:lineRule="auto"/>
      <w:outlineLvl w:val="5"/>
    </w:pPr>
    <w:rPr>
      <w:rFonts w:ascii="Arial" w:hAnsi="Arial" w:eastAsia="黑体"/>
      <w:b/>
      <w:bCs/>
      <w:sz w:val="24"/>
      <w:szCs w:val="24"/>
    </w:rPr>
  </w:style>
  <w:style w:type="paragraph" w:styleId="10">
    <w:name w:val="heading 7"/>
    <w:basedOn w:val="1"/>
    <w:next w:val="1"/>
    <w:link w:val="46"/>
    <w:qFormat/>
    <w:uiPriority w:val="99"/>
    <w:pPr>
      <w:keepNext/>
      <w:keepLines/>
      <w:numPr>
        <w:ilvl w:val="6"/>
        <w:numId w:val="1"/>
      </w:numPr>
      <w:spacing w:before="240" w:after="64" w:line="320" w:lineRule="auto"/>
      <w:outlineLvl w:val="6"/>
    </w:pPr>
    <w:rPr>
      <w:b/>
      <w:bCs/>
      <w:sz w:val="24"/>
      <w:szCs w:val="24"/>
    </w:rPr>
  </w:style>
  <w:style w:type="paragraph" w:styleId="11">
    <w:name w:val="heading 8"/>
    <w:basedOn w:val="1"/>
    <w:next w:val="1"/>
    <w:link w:val="47"/>
    <w:qFormat/>
    <w:uiPriority w:val="99"/>
    <w:pPr>
      <w:keepNext/>
      <w:keepLines/>
      <w:numPr>
        <w:ilvl w:val="7"/>
        <w:numId w:val="1"/>
      </w:numPr>
      <w:spacing w:before="240" w:after="64" w:line="320" w:lineRule="auto"/>
      <w:outlineLvl w:val="7"/>
    </w:pPr>
    <w:rPr>
      <w:rFonts w:ascii="Arial" w:hAnsi="Arial" w:eastAsia="黑体"/>
      <w:sz w:val="24"/>
      <w:szCs w:val="24"/>
    </w:rPr>
  </w:style>
  <w:style w:type="paragraph" w:styleId="12">
    <w:name w:val="heading 9"/>
    <w:basedOn w:val="1"/>
    <w:next w:val="1"/>
    <w:link w:val="48"/>
    <w:qFormat/>
    <w:uiPriority w:val="99"/>
    <w:pPr>
      <w:keepNext/>
      <w:keepLines/>
      <w:numPr>
        <w:ilvl w:val="8"/>
        <w:numId w:val="1"/>
      </w:numPr>
      <w:spacing w:before="240" w:after="64" w:line="320" w:lineRule="auto"/>
      <w:outlineLvl w:val="8"/>
    </w:pPr>
    <w:rPr>
      <w:rFonts w:ascii="Arial" w:hAnsi="Arial" w:eastAsia="黑体"/>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1"/>
    <w:link w:val="52"/>
    <w:qFormat/>
    <w:uiPriority w:val="99"/>
    <w:pPr>
      <w:spacing w:line="360" w:lineRule="auto"/>
      <w:ind w:firstLine="200" w:firstLineChars="200"/>
    </w:pPr>
    <w:rPr>
      <w:rFonts w:ascii="仿宋_GB2312" w:eastAsia="仿宋_GB2312"/>
      <w:sz w:val="30"/>
      <w:szCs w:val="30"/>
    </w:rPr>
  </w:style>
  <w:style w:type="paragraph" w:styleId="5">
    <w:name w:val="Normal Indent"/>
    <w:basedOn w:val="1"/>
    <w:link w:val="65"/>
    <w:qFormat/>
    <w:uiPriority w:val="99"/>
    <w:pPr>
      <w:ind w:firstLine="420"/>
    </w:pPr>
    <w:rPr>
      <w:kern w:val="0"/>
      <w:szCs w:val="20"/>
    </w:rPr>
  </w:style>
  <w:style w:type="paragraph" w:styleId="13">
    <w:name w:val="List 3"/>
    <w:basedOn w:val="1"/>
    <w:qFormat/>
    <w:uiPriority w:val="99"/>
    <w:pPr>
      <w:ind w:left="100" w:leftChars="400" w:hanging="200" w:hangingChars="200"/>
    </w:pPr>
  </w:style>
  <w:style w:type="paragraph" w:styleId="14">
    <w:name w:val="Document Map"/>
    <w:basedOn w:val="1"/>
    <w:link w:val="53"/>
    <w:semiHidden/>
    <w:qFormat/>
    <w:uiPriority w:val="99"/>
    <w:pPr>
      <w:shd w:val="clear" w:color="auto" w:fill="000080"/>
    </w:pPr>
  </w:style>
  <w:style w:type="paragraph" w:styleId="15">
    <w:name w:val="annotation text"/>
    <w:basedOn w:val="1"/>
    <w:link w:val="86"/>
    <w:semiHidden/>
    <w:qFormat/>
    <w:uiPriority w:val="99"/>
    <w:pPr>
      <w:jc w:val="left"/>
    </w:pPr>
  </w:style>
  <w:style w:type="paragraph" w:styleId="16">
    <w:name w:val="Body Text 3"/>
    <w:basedOn w:val="1"/>
    <w:link w:val="54"/>
    <w:qFormat/>
    <w:uiPriority w:val="99"/>
    <w:rPr>
      <w:rFonts w:ascii="仿宋_GB2312" w:hAnsi="Arial" w:eastAsia="仿宋_GB2312"/>
      <w:sz w:val="32"/>
      <w:szCs w:val="32"/>
    </w:rPr>
  </w:style>
  <w:style w:type="paragraph" w:styleId="17">
    <w:name w:val="Body Text"/>
    <w:basedOn w:val="1"/>
    <w:link w:val="51"/>
    <w:qFormat/>
    <w:uiPriority w:val="99"/>
    <w:rPr>
      <w:rFonts w:ascii="KaiTi_GB2312" w:hAnsi="Arial" w:eastAsia="KaiTi_GB2312"/>
      <w:sz w:val="28"/>
      <w:szCs w:val="28"/>
    </w:rPr>
  </w:style>
  <w:style w:type="paragraph" w:styleId="18">
    <w:name w:val="Body Text Indent"/>
    <w:basedOn w:val="1"/>
    <w:link w:val="55"/>
    <w:qFormat/>
    <w:uiPriority w:val="99"/>
    <w:pPr>
      <w:ind w:firstLine="645"/>
    </w:pPr>
    <w:rPr>
      <w:rFonts w:ascii="KaiTi_GB2312" w:eastAsia="KaiTi_GB2312"/>
      <w:sz w:val="32"/>
      <w:szCs w:val="32"/>
    </w:rPr>
  </w:style>
  <w:style w:type="paragraph" w:styleId="19">
    <w:name w:val="List 2"/>
    <w:basedOn w:val="1"/>
    <w:qFormat/>
    <w:uiPriority w:val="99"/>
    <w:pPr>
      <w:ind w:left="100" w:leftChars="200" w:hanging="200" w:hangingChars="200"/>
    </w:pPr>
  </w:style>
  <w:style w:type="paragraph" w:styleId="20">
    <w:name w:val="Plain Text"/>
    <w:basedOn w:val="1"/>
    <w:link w:val="56"/>
    <w:qFormat/>
    <w:uiPriority w:val="99"/>
    <w:rPr>
      <w:rFonts w:ascii="宋体" w:hAnsi="Courier New" w:cs="Courier New"/>
    </w:rPr>
  </w:style>
  <w:style w:type="paragraph" w:styleId="21">
    <w:name w:val="Date"/>
    <w:basedOn w:val="1"/>
    <w:next w:val="1"/>
    <w:link w:val="57"/>
    <w:qFormat/>
    <w:uiPriority w:val="99"/>
    <w:rPr>
      <w:sz w:val="24"/>
      <w:szCs w:val="24"/>
    </w:rPr>
  </w:style>
  <w:style w:type="paragraph" w:styleId="22">
    <w:name w:val="Body Text Indent 2"/>
    <w:basedOn w:val="1"/>
    <w:link w:val="58"/>
    <w:qFormat/>
    <w:uiPriority w:val="99"/>
    <w:pPr>
      <w:ind w:left="630" w:firstLine="645"/>
    </w:pPr>
    <w:rPr>
      <w:rFonts w:ascii="Arial" w:hAnsi="Arial" w:eastAsia="仿宋_GB2312" w:cs="Arial"/>
      <w:sz w:val="32"/>
      <w:szCs w:val="32"/>
    </w:rPr>
  </w:style>
  <w:style w:type="paragraph" w:styleId="23">
    <w:name w:val="Balloon Text"/>
    <w:basedOn w:val="1"/>
    <w:link w:val="88"/>
    <w:semiHidden/>
    <w:qFormat/>
    <w:uiPriority w:val="99"/>
    <w:rPr>
      <w:sz w:val="18"/>
      <w:szCs w:val="18"/>
    </w:rPr>
  </w:style>
  <w:style w:type="paragraph" w:styleId="24">
    <w:name w:val="footer"/>
    <w:basedOn w:val="1"/>
    <w:link w:val="60"/>
    <w:qFormat/>
    <w:uiPriority w:val="99"/>
    <w:pPr>
      <w:tabs>
        <w:tab w:val="center" w:pos="4153"/>
        <w:tab w:val="right" w:pos="8306"/>
      </w:tabs>
      <w:snapToGrid w:val="0"/>
      <w:jc w:val="left"/>
    </w:pPr>
    <w:rPr>
      <w:sz w:val="18"/>
      <w:szCs w:val="18"/>
    </w:rPr>
  </w:style>
  <w:style w:type="paragraph" w:styleId="25">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6">
    <w:name w:val="List"/>
    <w:basedOn w:val="1"/>
    <w:qFormat/>
    <w:uiPriority w:val="99"/>
    <w:pPr>
      <w:ind w:left="200" w:hanging="200" w:hangingChars="200"/>
    </w:pPr>
  </w:style>
  <w:style w:type="paragraph" w:styleId="27">
    <w:name w:val="Body Text Indent 3"/>
    <w:basedOn w:val="1"/>
    <w:link w:val="63"/>
    <w:qFormat/>
    <w:uiPriority w:val="99"/>
    <w:pPr>
      <w:ind w:left="645" w:firstLine="645"/>
    </w:pPr>
    <w:rPr>
      <w:rFonts w:ascii="Arial" w:hAnsi="Arial" w:eastAsia="仿宋_GB2312" w:cs="Arial"/>
      <w:color w:val="FFFF00"/>
      <w:sz w:val="32"/>
      <w:szCs w:val="32"/>
    </w:rPr>
  </w:style>
  <w:style w:type="paragraph" w:styleId="28">
    <w:name w:val="Body Text 2"/>
    <w:basedOn w:val="1"/>
    <w:link w:val="64"/>
    <w:qFormat/>
    <w:uiPriority w:val="99"/>
    <w:pPr>
      <w:widowControl/>
      <w:jc w:val="center"/>
    </w:pPr>
    <w:rPr>
      <w:rFonts w:ascii="KaiTi_GB2312" w:eastAsia="KaiTi_GB2312"/>
      <w:sz w:val="28"/>
      <w:szCs w:val="28"/>
    </w:r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0">
    <w:name w:val="annotation subject"/>
    <w:basedOn w:val="15"/>
    <w:next w:val="15"/>
    <w:link w:val="87"/>
    <w:semiHidden/>
    <w:qFormat/>
    <w:uiPriority w:val="99"/>
    <w:rPr>
      <w:b/>
      <w:bCs/>
    </w:rPr>
  </w:style>
  <w:style w:type="paragraph" w:styleId="31">
    <w:name w:val="Body Text First Indent 2"/>
    <w:basedOn w:val="18"/>
    <w:link w:val="61"/>
    <w:qFormat/>
    <w:uiPriority w:val="99"/>
    <w:pPr>
      <w:spacing w:line="360" w:lineRule="auto"/>
      <w:ind w:firstLine="420" w:firstLineChars="200"/>
    </w:pPr>
    <w:rPr>
      <w:rFonts w:ascii="宋体" w:hAnsi="宋体" w:eastAsia="宋体"/>
      <w:sz w:val="21"/>
      <w:szCs w:val="20"/>
    </w:rPr>
  </w:style>
  <w:style w:type="table" w:styleId="33">
    <w:name w:val="Table Grid"/>
    <w:basedOn w:val="3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5">
    <w:name w:val="Strong"/>
    <w:basedOn w:val="34"/>
    <w:qFormat/>
    <w:uiPriority w:val="99"/>
    <w:rPr>
      <w:rFonts w:cs="Times New Roman"/>
      <w:b/>
    </w:rPr>
  </w:style>
  <w:style w:type="character" w:styleId="36">
    <w:name w:val="page number"/>
    <w:basedOn w:val="34"/>
    <w:qFormat/>
    <w:uiPriority w:val="99"/>
    <w:rPr>
      <w:rFonts w:cs="Times New Roman"/>
    </w:rPr>
  </w:style>
  <w:style w:type="character" w:styleId="37">
    <w:name w:val="FollowedHyperlink"/>
    <w:basedOn w:val="34"/>
    <w:qFormat/>
    <w:uiPriority w:val="99"/>
    <w:rPr>
      <w:rFonts w:cs="Times New Roman"/>
      <w:color w:val="800080"/>
      <w:u w:val="single"/>
    </w:rPr>
  </w:style>
  <w:style w:type="character" w:styleId="38">
    <w:name w:val="Hyperlink"/>
    <w:basedOn w:val="34"/>
    <w:qFormat/>
    <w:uiPriority w:val="99"/>
    <w:rPr>
      <w:rFonts w:cs="Times New Roman"/>
      <w:color w:val="0000FF"/>
      <w:u w:val="single"/>
    </w:rPr>
  </w:style>
  <w:style w:type="character" w:styleId="39">
    <w:name w:val="annotation reference"/>
    <w:basedOn w:val="34"/>
    <w:semiHidden/>
    <w:qFormat/>
    <w:uiPriority w:val="99"/>
    <w:rPr>
      <w:rFonts w:cs="Times New Roman"/>
      <w:sz w:val="21"/>
    </w:rPr>
  </w:style>
  <w:style w:type="character" w:customStyle="1" w:styleId="40">
    <w:name w:val="标题 1 Char"/>
    <w:basedOn w:val="34"/>
    <w:link w:val="3"/>
    <w:qFormat/>
    <w:locked/>
    <w:uiPriority w:val="99"/>
    <w:rPr>
      <w:rFonts w:ascii="KaiTi_GB2312" w:hAnsi="Times New Roman" w:eastAsia="KaiTi_GB2312" w:cs="Times New Roman"/>
      <w:sz w:val="28"/>
      <w:szCs w:val="28"/>
    </w:rPr>
  </w:style>
  <w:style w:type="character" w:customStyle="1" w:styleId="41">
    <w:name w:val="标题 2 Char"/>
    <w:basedOn w:val="34"/>
    <w:link w:val="4"/>
    <w:qFormat/>
    <w:locked/>
    <w:uiPriority w:val="99"/>
    <w:rPr>
      <w:rFonts w:ascii="Arial" w:hAnsi="Arial" w:eastAsia="幼圆" w:cs="Arial"/>
      <w:b/>
      <w:bCs/>
      <w:sz w:val="44"/>
      <w:szCs w:val="44"/>
    </w:rPr>
  </w:style>
  <w:style w:type="character" w:customStyle="1" w:styleId="42">
    <w:name w:val="标题 3 Char"/>
    <w:basedOn w:val="34"/>
    <w:link w:val="6"/>
    <w:qFormat/>
    <w:locked/>
    <w:uiPriority w:val="99"/>
    <w:rPr>
      <w:rFonts w:ascii="Times New Roman" w:hAnsi="Times New Roman" w:eastAsia="宋体" w:cs="Times New Roman"/>
      <w:b/>
      <w:bCs/>
      <w:sz w:val="32"/>
      <w:szCs w:val="32"/>
    </w:rPr>
  </w:style>
  <w:style w:type="character" w:customStyle="1" w:styleId="43">
    <w:name w:val="标题 4 Char"/>
    <w:basedOn w:val="34"/>
    <w:link w:val="7"/>
    <w:qFormat/>
    <w:locked/>
    <w:uiPriority w:val="99"/>
    <w:rPr>
      <w:rFonts w:ascii="Arial" w:hAnsi="Arial" w:eastAsia="黑体" w:cs="Arial"/>
      <w:b/>
      <w:bCs/>
      <w:sz w:val="28"/>
      <w:szCs w:val="28"/>
    </w:rPr>
  </w:style>
  <w:style w:type="character" w:customStyle="1" w:styleId="44">
    <w:name w:val="标题 5 Char"/>
    <w:basedOn w:val="34"/>
    <w:link w:val="8"/>
    <w:qFormat/>
    <w:locked/>
    <w:uiPriority w:val="99"/>
    <w:rPr>
      <w:rFonts w:ascii="宋体" w:hAnsi="Times New Roman" w:eastAsia="宋体" w:cs="Times New Roman"/>
      <w:color w:val="000000"/>
      <w:kern w:val="0"/>
      <w:sz w:val="28"/>
      <w:szCs w:val="28"/>
    </w:rPr>
  </w:style>
  <w:style w:type="character" w:customStyle="1" w:styleId="45">
    <w:name w:val="标题 6 Char"/>
    <w:basedOn w:val="34"/>
    <w:link w:val="9"/>
    <w:qFormat/>
    <w:locked/>
    <w:uiPriority w:val="99"/>
    <w:rPr>
      <w:rFonts w:ascii="Arial" w:hAnsi="Arial" w:eastAsia="黑体" w:cs="Times New Roman"/>
      <w:b/>
      <w:bCs/>
      <w:sz w:val="24"/>
      <w:szCs w:val="24"/>
    </w:rPr>
  </w:style>
  <w:style w:type="character" w:customStyle="1" w:styleId="46">
    <w:name w:val="标题 7 Char"/>
    <w:basedOn w:val="34"/>
    <w:link w:val="10"/>
    <w:qFormat/>
    <w:locked/>
    <w:uiPriority w:val="99"/>
    <w:rPr>
      <w:rFonts w:ascii="Times New Roman" w:hAnsi="Times New Roman" w:eastAsia="宋体" w:cs="Times New Roman"/>
      <w:b/>
      <w:bCs/>
      <w:sz w:val="24"/>
      <w:szCs w:val="24"/>
    </w:rPr>
  </w:style>
  <w:style w:type="character" w:customStyle="1" w:styleId="47">
    <w:name w:val="标题 8 Char"/>
    <w:basedOn w:val="34"/>
    <w:link w:val="11"/>
    <w:qFormat/>
    <w:locked/>
    <w:uiPriority w:val="99"/>
    <w:rPr>
      <w:rFonts w:ascii="Arial" w:hAnsi="Arial" w:eastAsia="黑体" w:cs="Times New Roman"/>
      <w:sz w:val="24"/>
      <w:szCs w:val="24"/>
    </w:rPr>
  </w:style>
  <w:style w:type="character" w:customStyle="1" w:styleId="48">
    <w:name w:val="标题 9 Char"/>
    <w:basedOn w:val="34"/>
    <w:link w:val="12"/>
    <w:qFormat/>
    <w:locked/>
    <w:uiPriority w:val="99"/>
    <w:rPr>
      <w:rFonts w:ascii="Arial" w:hAnsi="Arial" w:eastAsia="黑体" w:cs="Times New Roman"/>
      <w:sz w:val="21"/>
      <w:szCs w:val="21"/>
    </w:rPr>
  </w:style>
  <w:style w:type="character" w:customStyle="1" w:styleId="49">
    <w:name w:val="批注文字 Char1"/>
    <w:basedOn w:val="34"/>
    <w:link w:val="15"/>
    <w:semiHidden/>
    <w:qFormat/>
    <w:locked/>
    <w:uiPriority w:val="99"/>
    <w:rPr>
      <w:rFonts w:ascii="Times New Roman" w:hAnsi="Times New Roman" w:eastAsia="宋体" w:cs="Times New Roman"/>
      <w:sz w:val="21"/>
      <w:szCs w:val="21"/>
    </w:rPr>
  </w:style>
  <w:style w:type="character" w:customStyle="1" w:styleId="50">
    <w:name w:val="批注主题 Char1"/>
    <w:basedOn w:val="49"/>
    <w:link w:val="30"/>
    <w:semiHidden/>
    <w:qFormat/>
    <w:locked/>
    <w:uiPriority w:val="99"/>
    <w:rPr>
      <w:b/>
      <w:bCs/>
    </w:rPr>
  </w:style>
  <w:style w:type="character" w:customStyle="1" w:styleId="51">
    <w:name w:val="正文文本 Char"/>
    <w:basedOn w:val="34"/>
    <w:link w:val="17"/>
    <w:qFormat/>
    <w:locked/>
    <w:uiPriority w:val="99"/>
    <w:rPr>
      <w:rFonts w:ascii="KaiTi_GB2312" w:hAnsi="Arial" w:eastAsia="KaiTi_GB2312" w:cs="Times New Roman"/>
      <w:sz w:val="28"/>
      <w:szCs w:val="28"/>
    </w:rPr>
  </w:style>
  <w:style w:type="character" w:customStyle="1" w:styleId="52">
    <w:name w:val="正文首行缩进 Char"/>
    <w:basedOn w:val="51"/>
    <w:link w:val="2"/>
    <w:qFormat/>
    <w:locked/>
    <w:uiPriority w:val="99"/>
    <w:rPr>
      <w:rFonts w:ascii="仿宋_GB2312" w:hAnsi="Times New Roman" w:eastAsia="仿宋_GB2312"/>
      <w:sz w:val="30"/>
      <w:szCs w:val="30"/>
    </w:rPr>
  </w:style>
  <w:style w:type="character" w:customStyle="1" w:styleId="53">
    <w:name w:val="文档结构图 Char"/>
    <w:basedOn w:val="34"/>
    <w:link w:val="14"/>
    <w:semiHidden/>
    <w:qFormat/>
    <w:locked/>
    <w:uiPriority w:val="99"/>
    <w:rPr>
      <w:rFonts w:ascii="Times New Roman" w:hAnsi="Times New Roman" w:eastAsia="宋体" w:cs="Times New Roman"/>
      <w:sz w:val="21"/>
      <w:szCs w:val="21"/>
      <w:shd w:val="clear" w:color="auto" w:fill="000080"/>
    </w:rPr>
  </w:style>
  <w:style w:type="character" w:customStyle="1" w:styleId="54">
    <w:name w:val="正文文本 3 Char"/>
    <w:basedOn w:val="34"/>
    <w:link w:val="16"/>
    <w:qFormat/>
    <w:locked/>
    <w:uiPriority w:val="99"/>
    <w:rPr>
      <w:rFonts w:ascii="仿宋_GB2312" w:hAnsi="Arial" w:eastAsia="仿宋_GB2312" w:cs="Times New Roman"/>
      <w:sz w:val="32"/>
      <w:szCs w:val="32"/>
    </w:rPr>
  </w:style>
  <w:style w:type="character" w:customStyle="1" w:styleId="55">
    <w:name w:val="正文文本缩进 Char"/>
    <w:basedOn w:val="34"/>
    <w:link w:val="18"/>
    <w:qFormat/>
    <w:locked/>
    <w:uiPriority w:val="99"/>
    <w:rPr>
      <w:rFonts w:ascii="KaiTi_GB2312" w:hAnsi="Times New Roman" w:eastAsia="KaiTi_GB2312" w:cs="Times New Roman"/>
      <w:sz w:val="32"/>
      <w:szCs w:val="32"/>
    </w:rPr>
  </w:style>
  <w:style w:type="character" w:customStyle="1" w:styleId="56">
    <w:name w:val="纯文本 Char"/>
    <w:basedOn w:val="34"/>
    <w:link w:val="20"/>
    <w:qFormat/>
    <w:locked/>
    <w:uiPriority w:val="99"/>
    <w:rPr>
      <w:rFonts w:ascii="宋体" w:hAnsi="Courier New" w:eastAsia="宋体" w:cs="Courier New"/>
      <w:sz w:val="21"/>
      <w:szCs w:val="21"/>
    </w:rPr>
  </w:style>
  <w:style w:type="character" w:customStyle="1" w:styleId="57">
    <w:name w:val="日期 Char"/>
    <w:basedOn w:val="34"/>
    <w:link w:val="21"/>
    <w:qFormat/>
    <w:locked/>
    <w:uiPriority w:val="99"/>
    <w:rPr>
      <w:rFonts w:ascii="Times New Roman" w:hAnsi="Times New Roman" w:eastAsia="宋体" w:cs="Times New Roman"/>
      <w:sz w:val="24"/>
      <w:szCs w:val="24"/>
    </w:rPr>
  </w:style>
  <w:style w:type="character" w:customStyle="1" w:styleId="58">
    <w:name w:val="正文文本缩进 2 Char"/>
    <w:basedOn w:val="34"/>
    <w:link w:val="22"/>
    <w:qFormat/>
    <w:locked/>
    <w:uiPriority w:val="99"/>
    <w:rPr>
      <w:rFonts w:ascii="Arial" w:hAnsi="Arial" w:eastAsia="仿宋_GB2312" w:cs="Arial"/>
      <w:sz w:val="32"/>
      <w:szCs w:val="32"/>
    </w:rPr>
  </w:style>
  <w:style w:type="character" w:customStyle="1" w:styleId="59">
    <w:name w:val="批注框文本 Char1"/>
    <w:basedOn w:val="34"/>
    <w:link w:val="23"/>
    <w:semiHidden/>
    <w:qFormat/>
    <w:locked/>
    <w:uiPriority w:val="99"/>
    <w:rPr>
      <w:rFonts w:ascii="Times New Roman" w:hAnsi="Times New Roman" w:eastAsia="宋体" w:cs="Times New Roman"/>
      <w:sz w:val="18"/>
      <w:szCs w:val="18"/>
    </w:rPr>
  </w:style>
  <w:style w:type="character" w:customStyle="1" w:styleId="60">
    <w:name w:val="页脚 Char"/>
    <w:basedOn w:val="34"/>
    <w:link w:val="24"/>
    <w:qFormat/>
    <w:locked/>
    <w:uiPriority w:val="99"/>
    <w:rPr>
      <w:rFonts w:ascii="Times New Roman" w:hAnsi="Times New Roman" w:eastAsia="宋体" w:cs="Times New Roman"/>
      <w:sz w:val="18"/>
      <w:szCs w:val="18"/>
    </w:rPr>
  </w:style>
  <w:style w:type="character" w:customStyle="1" w:styleId="61">
    <w:name w:val="正文首行缩进 2 Char"/>
    <w:basedOn w:val="55"/>
    <w:link w:val="31"/>
    <w:qFormat/>
    <w:locked/>
    <w:uiPriority w:val="99"/>
    <w:rPr>
      <w:rFonts w:ascii="宋体" w:hAnsi="宋体" w:eastAsia="宋体"/>
      <w:sz w:val="20"/>
      <w:szCs w:val="20"/>
    </w:rPr>
  </w:style>
  <w:style w:type="character" w:customStyle="1" w:styleId="62">
    <w:name w:val="页眉 Char"/>
    <w:basedOn w:val="34"/>
    <w:link w:val="25"/>
    <w:qFormat/>
    <w:locked/>
    <w:uiPriority w:val="99"/>
    <w:rPr>
      <w:rFonts w:ascii="Times New Roman" w:hAnsi="Times New Roman" w:eastAsia="宋体" w:cs="Times New Roman"/>
      <w:sz w:val="18"/>
      <w:szCs w:val="18"/>
    </w:rPr>
  </w:style>
  <w:style w:type="character" w:customStyle="1" w:styleId="63">
    <w:name w:val="正文文本缩进 3 Char"/>
    <w:basedOn w:val="34"/>
    <w:link w:val="27"/>
    <w:qFormat/>
    <w:locked/>
    <w:uiPriority w:val="99"/>
    <w:rPr>
      <w:rFonts w:ascii="Arial" w:hAnsi="Arial" w:eastAsia="仿宋_GB2312" w:cs="Arial"/>
      <w:color w:val="FFFF00"/>
      <w:sz w:val="32"/>
      <w:szCs w:val="32"/>
    </w:rPr>
  </w:style>
  <w:style w:type="character" w:customStyle="1" w:styleId="64">
    <w:name w:val="正文文本 2 Char"/>
    <w:basedOn w:val="34"/>
    <w:link w:val="28"/>
    <w:qFormat/>
    <w:locked/>
    <w:uiPriority w:val="99"/>
    <w:rPr>
      <w:rFonts w:ascii="KaiTi_GB2312" w:hAnsi="Times New Roman" w:eastAsia="KaiTi_GB2312" w:cs="Times New Roman"/>
      <w:sz w:val="28"/>
      <w:szCs w:val="28"/>
    </w:rPr>
  </w:style>
  <w:style w:type="character" w:customStyle="1" w:styleId="65">
    <w:name w:val="正文缩进 Char"/>
    <w:link w:val="5"/>
    <w:qFormat/>
    <w:locked/>
    <w:uiPriority w:val="99"/>
    <w:rPr>
      <w:rFonts w:ascii="Times New Roman" w:hAnsi="Times New Roman" w:eastAsia="宋体"/>
      <w:sz w:val="21"/>
    </w:rPr>
  </w:style>
  <w:style w:type="paragraph" w:customStyle="1" w:styleId="66">
    <w:name w:val="普通 (Web)"/>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67">
    <w:name w:val="标题3"/>
    <w:basedOn w:val="1"/>
    <w:next w:val="1"/>
    <w:qFormat/>
    <w:uiPriority w:val="99"/>
    <w:pPr>
      <w:autoSpaceDE w:val="0"/>
      <w:autoSpaceDN w:val="0"/>
      <w:snapToGrid w:val="0"/>
      <w:spacing w:line="590" w:lineRule="atLeast"/>
      <w:ind w:firstLine="624"/>
    </w:pPr>
    <w:rPr>
      <w:rFonts w:ascii="方正黑体_GBK" w:eastAsia="方正黑体_GBK"/>
      <w:kern w:val="0"/>
      <w:sz w:val="32"/>
      <w:szCs w:val="32"/>
    </w:rPr>
  </w:style>
  <w:style w:type="paragraph" w:customStyle="1" w:styleId="68">
    <w:name w:val="标题1"/>
    <w:basedOn w:val="1"/>
    <w:next w:val="1"/>
    <w:qFormat/>
    <w:uiPriority w:val="99"/>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69">
    <w:name w:val="附录1"/>
    <w:qFormat/>
    <w:uiPriority w:val="99"/>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70">
    <w:name w:val="4"/>
    <w:basedOn w:val="1"/>
    <w:next w:val="27"/>
    <w:qFormat/>
    <w:uiPriority w:val="99"/>
    <w:pPr>
      <w:spacing w:line="360" w:lineRule="auto"/>
      <w:ind w:firstLine="420"/>
    </w:pPr>
    <w:rPr>
      <w:color w:val="FF0000"/>
      <w:sz w:val="24"/>
      <w:szCs w:val="24"/>
    </w:rPr>
  </w:style>
  <w:style w:type="paragraph" w:customStyle="1" w:styleId="71">
    <w:name w:val="样式1"/>
    <w:basedOn w:val="1"/>
    <w:qFormat/>
    <w:uiPriority w:val="99"/>
    <w:pPr>
      <w:tabs>
        <w:tab w:val="left" w:pos="709"/>
      </w:tabs>
      <w:adjustRightInd w:val="0"/>
      <w:ind w:left="709" w:hanging="709"/>
      <w:textAlignment w:val="baseline"/>
    </w:pPr>
    <w:rPr>
      <w:rFonts w:ascii="宋体" w:hAnsi="宋体"/>
      <w:kern w:val="0"/>
    </w:rPr>
  </w:style>
  <w:style w:type="paragraph" w:customStyle="1" w:styleId="72">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73">
    <w:name w:val="Body Text(ch)"/>
    <w:basedOn w:val="1"/>
    <w:next w:val="17"/>
    <w:qFormat/>
    <w:uiPriority w:val="99"/>
    <w:pPr>
      <w:spacing w:after="120"/>
    </w:pPr>
    <w:rPr>
      <w:rFonts w:ascii="宋体" w:hAnsi="Arial"/>
      <w:bCs/>
      <w:iCs/>
      <w:szCs w:val="24"/>
    </w:rPr>
  </w:style>
  <w:style w:type="paragraph" w:customStyle="1" w:styleId="74">
    <w:name w:val="图标"/>
    <w:basedOn w:val="1"/>
    <w:next w:val="1"/>
    <w:qFormat/>
    <w:uiPriority w:val="99"/>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75">
    <w:name w:val="xl25"/>
    <w:basedOn w:val="1"/>
    <w:qFormat/>
    <w:uiPriority w:val="99"/>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76">
    <w:name w:val="font5"/>
    <w:basedOn w:val="1"/>
    <w:qFormat/>
    <w:uiPriority w:val="99"/>
    <w:pPr>
      <w:widowControl/>
      <w:spacing w:before="100" w:beforeAutospacing="1" w:after="100" w:afterAutospacing="1"/>
      <w:jc w:val="left"/>
    </w:pPr>
    <w:rPr>
      <w:rFonts w:ascii="宋体" w:hAnsi="宋体"/>
      <w:kern w:val="0"/>
      <w:sz w:val="28"/>
      <w:szCs w:val="28"/>
    </w:rPr>
  </w:style>
  <w:style w:type="paragraph" w:customStyle="1" w:styleId="77">
    <w:name w:val="font6"/>
    <w:basedOn w:val="1"/>
    <w:qFormat/>
    <w:uiPriority w:val="99"/>
    <w:pPr>
      <w:widowControl/>
      <w:spacing w:before="100" w:beforeAutospacing="1" w:after="100" w:afterAutospacing="1"/>
      <w:jc w:val="left"/>
    </w:pPr>
    <w:rPr>
      <w:rFonts w:ascii="宋体" w:hAnsi="宋体"/>
      <w:kern w:val="0"/>
      <w:sz w:val="28"/>
      <w:szCs w:val="28"/>
      <w:u w:val="single"/>
    </w:rPr>
  </w:style>
  <w:style w:type="paragraph" w:customStyle="1" w:styleId="78">
    <w:name w:val="font7"/>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79">
    <w:name w:val="xl2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80">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81">
    <w:name w:val="xl2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82">
    <w:name w:val="xl2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83">
    <w:name w:val="xl29"/>
    <w:basedOn w:val="1"/>
    <w:qFormat/>
    <w:uiPriority w:val="99"/>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84">
    <w:name w:val="xl30"/>
    <w:basedOn w:val="1"/>
    <w:qFormat/>
    <w:uiPriority w:val="99"/>
    <w:pPr>
      <w:widowControl/>
      <w:spacing w:before="100" w:beforeAutospacing="1" w:after="100" w:afterAutospacing="1"/>
      <w:jc w:val="center"/>
    </w:pPr>
    <w:rPr>
      <w:rFonts w:ascii="宋体" w:hAnsi="宋体"/>
      <w:b/>
      <w:bCs/>
      <w:kern w:val="0"/>
      <w:sz w:val="36"/>
      <w:szCs w:val="36"/>
    </w:rPr>
  </w:style>
  <w:style w:type="paragraph" w:customStyle="1" w:styleId="85">
    <w:name w:val="Char"/>
    <w:basedOn w:val="14"/>
    <w:qFormat/>
    <w:uiPriority w:val="0"/>
    <w:rPr>
      <w:rFonts w:ascii="Tahoma" w:hAnsi="Tahoma"/>
      <w:sz w:val="24"/>
      <w:szCs w:val="24"/>
    </w:rPr>
  </w:style>
  <w:style w:type="character" w:customStyle="1" w:styleId="86">
    <w:name w:val="批注文字 Char"/>
    <w:basedOn w:val="34"/>
    <w:link w:val="15"/>
    <w:semiHidden/>
    <w:qFormat/>
    <w:locked/>
    <w:uiPriority w:val="99"/>
    <w:rPr>
      <w:rFonts w:ascii="Times New Roman" w:hAnsi="Times New Roman" w:eastAsia="宋体" w:cs="Times New Roman"/>
      <w:sz w:val="21"/>
      <w:szCs w:val="21"/>
    </w:rPr>
  </w:style>
  <w:style w:type="character" w:customStyle="1" w:styleId="87">
    <w:name w:val="批注主题 Char"/>
    <w:basedOn w:val="86"/>
    <w:link w:val="30"/>
    <w:semiHidden/>
    <w:qFormat/>
    <w:locked/>
    <w:uiPriority w:val="99"/>
    <w:rPr>
      <w:b/>
      <w:bCs/>
    </w:rPr>
  </w:style>
  <w:style w:type="character" w:customStyle="1" w:styleId="88">
    <w:name w:val="批注框文本 Char"/>
    <w:basedOn w:val="34"/>
    <w:link w:val="23"/>
    <w:semiHidden/>
    <w:qFormat/>
    <w:locked/>
    <w:uiPriority w:val="99"/>
    <w:rPr>
      <w:rFonts w:ascii="Times New Roman" w:hAnsi="Times New Roman" w:eastAsia="宋体" w:cs="Times New Roman"/>
      <w:sz w:val="18"/>
      <w:szCs w:val="18"/>
    </w:rPr>
  </w:style>
  <w:style w:type="paragraph" w:customStyle="1" w:styleId="89">
    <w:name w:val="table_1stline"/>
    <w:basedOn w:val="1"/>
    <w:qFormat/>
    <w:uiPriority w:val="99"/>
    <w:pPr>
      <w:widowControl/>
      <w:spacing w:before="120"/>
      <w:jc w:val="left"/>
    </w:pPr>
    <w:rPr>
      <w:bCs/>
      <w:kern w:val="0"/>
      <w:sz w:val="20"/>
      <w:szCs w:val="20"/>
      <w:lang w:val="de-DE" w:eastAsia="de-DE"/>
    </w:rPr>
  </w:style>
  <w:style w:type="paragraph" w:customStyle="1" w:styleId="90">
    <w:name w:val="table_lines"/>
    <w:basedOn w:val="1"/>
    <w:qFormat/>
    <w:uiPriority w:val="99"/>
    <w:pPr>
      <w:widowControl/>
      <w:jc w:val="left"/>
    </w:pPr>
    <w:rPr>
      <w:kern w:val="0"/>
      <w:sz w:val="20"/>
      <w:szCs w:val="20"/>
      <w:lang w:val="de-DE" w:eastAsia="de-DE"/>
    </w:rPr>
  </w:style>
  <w:style w:type="character" w:customStyle="1" w:styleId="91">
    <w:name w:val="font5 Char"/>
    <w:qFormat/>
    <w:uiPriority w:val="99"/>
    <w:rPr>
      <w:rFonts w:ascii="宋体" w:hAnsi="宋体" w:eastAsia="宋体"/>
      <w:sz w:val="28"/>
      <w:lang w:val="en-US" w:eastAsia="zh-CN"/>
    </w:rPr>
  </w:style>
  <w:style w:type="paragraph" w:customStyle="1" w:styleId="92">
    <w:name w:val="Char Char Char Char"/>
    <w:basedOn w:val="14"/>
    <w:qFormat/>
    <w:uiPriority w:val="99"/>
    <w:pPr>
      <w:adjustRightInd w:val="0"/>
      <w:snapToGrid w:val="0"/>
      <w:spacing w:line="360" w:lineRule="auto"/>
    </w:pPr>
    <w:rPr>
      <w:rFonts w:ascii="Tahoma" w:hAnsi="Tahoma"/>
      <w:sz w:val="24"/>
      <w:szCs w:val="24"/>
    </w:rPr>
  </w:style>
  <w:style w:type="paragraph" w:customStyle="1" w:styleId="93">
    <w:name w:val="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94">
    <w:name w:val="列出段落1"/>
    <w:basedOn w:val="1"/>
    <w:qFormat/>
    <w:uiPriority w:val="99"/>
    <w:pPr>
      <w:widowControl/>
      <w:ind w:left="720"/>
      <w:contextualSpacing/>
      <w:jc w:val="left"/>
    </w:pPr>
    <w:rPr>
      <w:rFonts w:ascii="Calibri" w:hAnsi="Calibri"/>
      <w:kern w:val="0"/>
      <w:sz w:val="24"/>
      <w:szCs w:val="24"/>
      <w:lang w:eastAsia="en-US"/>
    </w:rPr>
  </w:style>
  <w:style w:type="paragraph" w:customStyle="1" w:styleId="95">
    <w:name w:val="Char Char Char Char Char Char Char Char Char Char"/>
    <w:basedOn w:val="1"/>
    <w:qFormat/>
    <w:uiPriority w:val="99"/>
    <w:pPr>
      <w:adjustRightInd w:val="0"/>
      <w:spacing w:line="360" w:lineRule="auto"/>
    </w:pPr>
    <w:rPr>
      <w:kern w:val="0"/>
      <w:sz w:val="24"/>
      <w:szCs w:val="20"/>
    </w:rPr>
  </w:style>
  <w:style w:type="character" w:customStyle="1" w:styleId="96">
    <w:name w:val="列出段落 Char"/>
    <w:link w:val="97"/>
    <w:qFormat/>
    <w:locked/>
    <w:uiPriority w:val="99"/>
    <w:rPr>
      <w:rFonts w:ascii="Calibri" w:hAnsi="Calibri"/>
      <w:sz w:val="24"/>
      <w:lang w:eastAsia="en-US"/>
    </w:rPr>
  </w:style>
  <w:style w:type="paragraph" w:customStyle="1" w:styleId="97">
    <w:name w:val="列出段落11"/>
    <w:basedOn w:val="1"/>
    <w:link w:val="96"/>
    <w:qFormat/>
    <w:uiPriority w:val="99"/>
    <w:pPr>
      <w:widowControl/>
      <w:ind w:left="720"/>
      <w:contextualSpacing/>
      <w:jc w:val="left"/>
    </w:pPr>
    <w:rPr>
      <w:rFonts w:ascii="Calibri" w:hAnsi="Calibri"/>
      <w:kern w:val="0"/>
      <w:sz w:val="24"/>
      <w:szCs w:val="20"/>
      <w:lang w:eastAsia="en-US"/>
    </w:rPr>
  </w:style>
  <w:style w:type="character" w:customStyle="1" w:styleId="98">
    <w:name w:val="二级目录 Char"/>
    <w:link w:val="99"/>
    <w:qFormat/>
    <w:locked/>
    <w:uiPriority w:val="99"/>
    <w:rPr>
      <w:b/>
      <w:kern w:val="2"/>
      <w:sz w:val="30"/>
      <w:szCs w:val="28"/>
      <w:lang w:val="en-US" w:eastAsia="zh-CN" w:bidi="ar-SA"/>
    </w:rPr>
  </w:style>
  <w:style w:type="paragraph" w:customStyle="1" w:styleId="99">
    <w:name w:val="二级目录"/>
    <w:next w:val="1"/>
    <w:link w:val="98"/>
    <w:qFormat/>
    <w:uiPriority w:val="99"/>
    <w:pPr>
      <w:tabs>
        <w:tab w:val="left" w:pos="907"/>
        <w:tab w:val="left" w:pos="1145"/>
      </w:tabs>
      <w:ind w:left="907" w:hanging="907"/>
      <w:outlineLvl w:val="1"/>
    </w:pPr>
    <w:rPr>
      <w:rFonts w:ascii="Calibri" w:hAnsi="Calibri" w:eastAsia="宋体" w:cs="Times New Roman"/>
      <w:b/>
      <w:kern w:val="2"/>
      <w:sz w:val="30"/>
      <w:szCs w:val="28"/>
      <w:lang w:val="en-US" w:eastAsia="zh-CN" w:bidi="ar-SA"/>
    </w:rPr>
  </w:style>
  <w:style w:type="character" w:customStyle="1" w:styleId="100">
    <w:name w:val="news12241"/>
    <w:basedOn w:val="34"/>
    <w:qFormat/>
    <w:uiPriority w:val="0"/>
    <w:rPr>
      <w:color w:val="000000"/>
      <w:sz w:val="18"/>
      <w:szCs w:val="18"/>
      <w:u w:val="none"/>
    </w:rPr>
  </w:style>
  <w:style w:type="character" w:customStyle="1" w:styleId="101">
    <w:name w:val="apple-converted-space"/>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493773-F633-435F-B354-0B664B6F921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47</Pages>
  <Words>3556</Words>
  <Characters>20272</Characters>
  <Lines>168</Lines>
  <Paragraphs>47</Paragraphs>
  <TotalTime>2</TotalTime>
  <ScaleCrop>false</ScaleCrop>
  <LinksUpToDate>false</LinksUpToDate>
  <CharactersWithSpaces>23781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2019-04-18T07:14:00Z</dcterms:created>
  <dc:creator>lenovo</dc:creator>
  <cp:lastModifiedBy>Administrator</cp:lastModifiedBy>
  <cp:lastPrinted>2021-08-23T01:27:00Z</cp:lastPrinted>
  <dcterms:modified xsi:type="dcterms:W3CDTF">2021-08-23T03:07:31Z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5C1BBE850BC144DDB46DACE31B657CEA</vt:lpwstr>
  </property>
</Properties>
</file>